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6BB" w:rsidRDefault="001C26BB" w:rsidP="001C26BB">
      <w:pPr>
        <w:spacing w:line="360" w:lineRule="auto"/>
        <w:ind w:firstLine="709"/>
        <w:jc w:val="both"/>
        <w:rPr>
          <w:b/>
          <w:i/>
          <w:color w:val="000000"/>
          <w:sz w:val="24"/>
          <w:szCs w:val="24"/>
        </w:rPr>
      </w:pPr>
      <w:bookmarkStart w:id="0" w:name="_Toc245886330"/>
      <w:bookmarkStart w:id="1" w:name="_Toc508033227"/>
      <w:bookmarkStart w:id="2" w:name="_Toc508066498"/>
      <w:bookmarkStart w:id="3" w:name="_Toc508122919"/>
      <w:bookmarkStart w:id="4" w:name="_Toc508180065"/>
      <w:bookmarkStart w:id="5" w:name="_Toc508183448"/>
      <w:bookmarkStart w:id="6" w:name="_Toc512435247"/>
      <w:bookmarkStart w:id="7" w:name="_Toc512458345"/>
      <w:bookmarkStart w:id="8" w:name="_Toc512461605"/>
      <w:bookmarkStart w:id="9" w:name="_Toc512497073"/>
      <w:bookmarkStart w:id="10" w:name="_Toc512518086"/>
      <w:bookmarkStart w:id="11" w:name="_Toc512518893"/>
      <w:bookmarkStart w:id="12" w:name="_Toc529376907"/>
      <w:r w:rsidRPr="00823917">
        <w:rPr>
          <w:b/>
          <w:bCs/>
          <w:i/>
          <w:iCs/>
          <w:sz w:val="24"/>
          <w:szCs w:val="24"/>
        </w:rPr>
        <w:t xml:space="preserve">3.4.3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23917">
        <w:rPr>
          <w:b/>
          <w:i/>
          <w:color w:val="000000"/>
          <w:sz w:val="24"/>
          <w:szCs w:val="24"/>
        </w:rPr>
        <w:t>Обоснование рабочих агентов для воздействия на пласт</w:t>
      </w:r>
    </w:p>
    <w:p w:rsidR="00E8164B" w:rsidRPr="008631C8" w:rsidRDefault="00E8164B" w:rsidP="008631C8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На месторождении с 1986г реализуется система ППД с внутриконтурным </w:t>
      </w:r>
      <w:proofErr w:type="spellStart"/>
      <w:r>
        <w:rPr>
          <w:rFonts w:ascii="Times New Roman" w:hAnsi="Times New Roman"/>
          <w:sz w:val="24"/>
          <w:szCs w:val="24"/>
          <w:lang w:bidi="en-US"/>
        </w:rPr>
        <w:t>заводнением</w:t>
      </w:r>
      <w:proofErr w:type="spellEnd"/>
      <w:r>
        <w:rPr>
          <w:rFonts w:ascii="Times New Roman" w:hAnsi="Times New Roman"/>
          <w:sz w:val="24"/>
          <w:szCs w:val="24"/>
          <w:lang w:bidi="en-US"/>
        </w:rPr>
        <w:t xml:space="preserve"> путем закачки в пласт попутно добываемой воды и воды из водозаборных скважин.</w:t>
      </w:r>
      <w:r w:rsidR="008631C8">
        <w:rPr>
          <w:sz w:val="24"/>
          <w:szCs w:val="24"/>
          <w:lang w:bidi="en-US"/>
        </w:rPr>
        <w:t xml:space="preserve"> </w:t>
      </w:r>
      <w:bookmarkStart w:id="13" w:name="_GoBack"/>
      <w:bookmarkEnd w:id="13"/>
    </w:p>
    <w:p w:rsidR="00332C40" w:rsidRPr="0086697B" w:rsidRDefault="0086697B" w:rsidP="0086697B">
      <w:pPr>
        <w:spacing w:line="36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823917">
        <w:rPr>
          <w:b/>
          <w:bCs/>
          <w:i/>
          <w:iCs/>
          <w:sz w:val="24"/>
          <w:szCs w:val="24"/>
        </w:rPr>
        <w:t>3.4.4 Обоснование принятой методики прогноза технологических показателей разработки</w:t>
      </w:r>
    </w:p>
    <w:p w:rsidR="00E41747" w:rsidRPr="001C26BB" w:rsidRDefault="00E41747" w:rsidP="001C26BB">
      <w:pPr>
        <w:spacing w:line="360" w:lineRule="auto"/>
        <w:ind w:firstLine="709"/>
        <w:jc w:val="both"/>
        <w:rPr>
          <w:sz w:val="24"/>
          <w:szCs w:val="24"/>
        </w:rPr>
      </w:pPr>
      <w:r w:rsidRPr="001C26BB">
        <w:rPr>
          <w:sz w:val="24"/>
          <w:szCs w:val="24"/>
        </w:rPr>
        <w:t xml:space="preserve">B основу расчетной модели, принятой для прогноза показателей разработки, положена схема слоисто- и зонально-неоднородного пласта – коллектора с использованием методики института </w:t>
      </w:r>
      <w:proofErr w:type="spellStart"/>
      <w:r w:rsidRPr="001C26BB">
        <w:rPr>
          <w:sz w:val="24"/>
          <w:szCs w:val="24"/>
        </w:rPr>
        <w:t>ТатНИПИнефть</w:t>
      </w:r>
      <w:proofErr w:type="spellEnd"/>
      <w:r w:rsidRPr="001C26BB">
        <w:rPr>
          <w:sz w:val="24"/>
          <w:szCs w:val="24"/>
        </w:rPr>
        <w:t>. Согласно этой модели, продуктивный пласт состоит из зон различной продуктивности с линейными размерами d, а каждая зона представлена из набора слоев различной проницаемости. Изменение проницаемости по слоям и зонам имеет вероятностный характер.</w:t>
      </w:r>
    </w:p>
    <w:p w:rsidR="00E41747" w:rsidRPr="001C26BB" w:rsidRDefault="00E41747" w:rsidP="001C26BB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1C26BB">
        <w:rPr>
          <w:sz w:val="24"/>
          <w:szCs w:val="24"/>
        </w:rPr>
        <w:t xml:space="preserve">Наряду с геологической характеристикой пласта, модель учитывает и физические факторы, такие как: </w:t>
      </w:r>
      <w:proofErr w:type="spellStart"/>
      <w:r w:rsidRPr="001C26BB">
        <w:rPr>
          <w:sz w:val="24"/>
          <w:szCs w:val="24"/>
        </w:rPr>
        <w:t>двухфазность</w:t>
      </w:r>
      <w:proofErr w:type="spellEnd"/>
      <w:r w:rsidRPr="001C26BB">
        <w:rPr>
          <w:sz w:val="24"/>
          <w:szCs w:val="24"/>
        </w:rPr>
        <w:t xml:space="preserve"> потока, различие вязкостей нефти, явление </w:t>
      </w:r>
      <w:proofErr w:type="spellStart"/>
      <w:r w:rsidRPr="001C26BB">
        <w:rPr>
          <w:sz w:val="24"/>
          <w:szCs w:val="24"/>
        </w:rPr>
        <w:t>языкообразования</w:t>
      </w:r>
      <w:proofErr w:type="spellEnd"/>
      <w:r w:rsidRPr="001C26BB">
        <w:rPr>
          <w:sz w:val="24"/>
          <w:szCs w:val="24"/>
        </w:rPr>
        <w:t xml:space="preserve"> и др. С учетом зональной неоднородности между элементами рассчитывают динамику добычи нефти при заданных условиях.  Расчетная модель позволяет определять технологические показатели разработки, как для режима истощения, так и для этапа поддержания пластового давления путем закачки воды и газа в пласт с учетом порядка и темпа </w:t>
      </w:r>
      <w:proofErr w:type="spellStart"/>
      <w:r w:rsidRPr="001C26BB">
        <w:rPr>
          <w:sz w:val="24"/>
          <w:szCs w:val="24"/>
        </w:rPr>
        <w:t>разбуривания</w:t>
      </w:r>
      <w:proofErr w:type="spellEnd"/>
      <w:r w:rsidRPr="001C26BB">
        <w:rPr>
          <w:sz w:val="24"/>
          <w:szCs w:val="24"/>
        </w:rPr>
        <w:t xml:space="preserve"> и ввода скважин в эксплуатацию, фактической плотности сетки скважин, режимов эксплуатации скважин.</w:t>
      </w:r>
    </w:p>
    <w:p w:rsidR="00E41747" w:rsidRPr="001C26BB" w:rsidRDefault="00E41747" w:rsidP="001C26BB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1C26BB">
        <w:rPr>
          <w:sz w:val="24"/>
          <w:szCs w:val="24"/>
        </w:rPr>
        <w:t>При определении коэффициента извлечения нефти применялась апробированная в Республике Казахстан коэффициентная методика (</w:t>
      </w:r>
      <w:proofErr w:type="spellStart"/>
      <w:r w:rsidRPr="001C26BB">
        <w:rPr>
          <w:sz w:val="24"/>
          <w:szCs w:val="24"/>
        </w:rPr>
        <w:t>ТатНИПИнефть</w:t>
      </w:r>
      <w:proofErr w:type="spellEnd"/>
      <w:r w:rsidRPr="001C26BB">
        <w:rPr>
          <w:sz w:val="24"/>
          <w:szCs w:val="24"/>
        </w:rPr>
        <w:t>), соответствующая действующим инструкциям.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 xml:space="preserve">Для всех рассматриваемых вариантов разработки продуктивных горизонтов месторождения </w:t>
      </w:r>
      <w:r w:rsidR="00313B2C" w:rsidRPr="001C26BB">
        <w:rPr>
          <w:sz w:val="24"/>
          <w:szCs w:val="24"/>
          <w:lang w:val="kk-KZ"/>
        </w:rPr>
        <w:t>Жанаталап</w:t>
      </w:r>
      <w:r w:rsidR="000F6F03" w:rsidRPr="001C26BB">
        <w:rPr>
          <w:sz w:val="24"/>
          <w:szCs w:val="24"/>
        </w:rPr>
        <w:t xml:space="preserve"> </w:t>
      </w:r>
      <w:r w:rsidRPr="001C26BB">
        <w:rPr>
          <w:sz w:val="24"/>
          <w:szCs w:val="24"/>
        </w:rPr>
        <w:t>расчет коэффициента извлечения нефти проводился по формуле: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58"/>
        <w:gridCol w:w="4977"/>
      </w:tblGrid>
      <w:tr w:rsidR="00E41747" w:rsidRPr="001C26BB" w:rsidTr="0018781C">
        <w:trPr>
          <w:trHeight w:val="413"/>
        </w:trPr>
        <w:tc>
          <w:tcPr>
            <w:tcW w:w="3558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b/>
                <w:noProof/>
                <w:position w:val="-10"/>
                <w:sz w:val="24"/>
                <w:szCs w:val="24"/>
              </w:rPr>
              <w:t xml:space="preserve"> </w:t>
            </w:r>
            <w:r w:rsidRPr="001C26BB">
              <w:rPr>
                <w:b/>
                <w:noProof/>
                <w:position w:val="-10"/>
                <w:sz w:val="24"/>
                <w:szCs w:val="24"/>
              </w:rPr>
              <w:drawing>
                <wp:inline distT="0" distB="0" distL="0" distR="0" wp14:anchorId="08455E2C" wp14:editId="683A756E">
                  <wp:extent cx="1314450" cy="219075"/>
                  <wp:effectExtent l="0" t="0" r="0" b="9525"/>
                  <wp:docPr id="25617" name="Рисунок 25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ab/>
              <w:t xml:space="preserve">                            (3.</w:t>
            </w:r>
            <w:r w:rsidR="00B11DAD">
              <w:rPr>
                <w:sz w:val="24"/>
                <w:szCs w:val="24"/>
              </w:rPr>
              <w:t>4</w:t>
            </w:r>
            <w:r w:rsidRPr="001C26BB">
              <w:rPr>
                <w:sz w:val="24"/>
                <w:szCs w:val="24"/>
              </w:rPr>
              <w:t>.1)</w:t>
            </w:r>
          </w:p>
        </w:tc>
      </w:tr>
    </w:tbl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где: К</w:t>
      </w:r>
      <w:r w:rsidRPr="001C26BB">
        <w:rPr>
          <w:sz w:val="24"/>
          <w:szCs w:val="24"/>
          <w:vertAlign w:val="subscript"/>
        </w:rPr>
        <w:t xml:space="preserve">1 </w:t>
      </w:r>
      <w:r w:rsidRPr="001C26BB">
        <w:rPr>
          <w:sz w:val="24"/>
          <w:szCs w:val="24"/>
        </w:rPr>
        <w:t>– коэффициент охвата сеткой скважин, показывающий долю дренируемого объема нефтяных залежей при данной сетке размещения скважин;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К</w:t>
      </w:r>
      <w:r w:rsidRPr="001C26BB">
        <w:rPr>
          <w:sz w:val="24"/>
          <w:szCs w:val="24"/>
          <w:vertAlign w:val="subscript"/>
        </w:rPr>
        <w:t>2</w:t>
      </w:r>
      <w:r w:rsidRPr="001C26BB">
        <w:rPr>
          <w:sz w:val="24"/>
          <w:szCs w:val="24"/>
        </w:rPr>
        <w:t xml:space="preserve"> – коэффициент вытеснения нефти;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К</w:t>
      </w:r>
      <w:r w:rsidRPr="001C26BB">
        <w:rPr>
          <w:sz w:val="24"/>
          <w:szCs w:val="24"/>
          <w:vertAlign w:val="subscript"/>
        </w:rPr>
        <w:t>3</w:t>
      </w:r>
      <w:r w:rsidRPr="001C26BB">
        <w:rPr>
          <w:sz w:val="24"/>
          <w:szCs w:val="24"/>
        </w:rPr>
        <w:t xml:space="preserve"> – коэффициент </w:t>
      </w:r>
      <w:proofErr w:type="spellStart"/>
      <w:r w:rsidRPr="001C26BB">
        <w:rPr>
          <w:sz w:val="24"/>
          <w:szCs w:val="24"/>
        </w:rPr>
        <w:t>заводнения</w:t>
      </w:r>
      <w:proofErr w:type="spellEnd"/>
      <w:r w:rsidRPr="001C26BB">
        <w:rPr>
          <w:sz w:val="24"/>
          <w:szCs w:val="24"/>
        </w:rPr>
        <w:t>, показывающий долю извлечения подвижных запасов.</w:t>
      </w:r>
    </w:p>
    <w:p w:rsidR="00342180" w:rsidRPr="001C26BB" w:rsidRDefault="00137B9D" w:rsidP="001C26BB">
      <w:pPr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C26BB">
        <w:rPr>
          <w:sz w:val="24"/>
          <w:szCs w:val="24"/>
        </w:rPr>
        <w:t>В рамках настоящего отчета</w:t>
      </w:r>
      <w:r w:rsidR="00342180" w:rsidRPr="001C26BB">
        <w:rPr>
          <w:sz w:val="24"/>
          <w:szCs w:val="24"/>
        </w:rPr>
        <w:t xml:space="preserve"> </w:t>
      </w:r>
      <w:r w:rsidR="00860066" w:rsidRPr="001C26BB">
        <w:rPr>
          <w:sz w:val="24"/>
          <w:szCs w:val="24"/>
        </w:rPr>
        <w:t>был</w:t>
      </w:r>
      <w:r w:rsidR="008C3684" w:rsidRPr="001C26BB">
        <w:rPr>
          <w:sz w:val="24"/>
          <w:szCs w:val="24"/>
          <w:lang w:val="kk-KZ"/>
        </w:rPr>
        <w:t>и</w:t>
      </w:r>
      <w:r w:rsidR="00860066" w:rsidRPr="001C26BB">
        <w:rPr>
          <w:sz w:val="24"/>
          <w:szCs w:val="24"/>
        </w:rPr>
        <w:t xml:space="preserve"> получен</w:t>
      </w:r>
      <w:r w:rsidR="008C3684" w:rsidRPr="001C26BB">
        <w:rPr>
          <w:sz w:val="24"/>
          <w:szCs w:val="24"/>
          <w:lang w:val="kk-KZ"/>
        </w:rPr>
        <w:t>ы</w:t>
      </w:r>
      <w:r w:rsidR="00860066" w:rsidRPr="001C26BB">
        <w:rPr>
          <w:sz w:val="24"/>
          <w:szCs w:val="24"/>
        </w:rPr>
        <w:t xml:space="preserve"> результат</w:t>
      </w:r>
      <w:r w:rsidR="008C3684" w:rsidRPr="001C26BB">
        <w:rPr>
          <w:sz w:val="24"/>
          <w:szCs w:val="24"/>
          <w:lang w:val="kk-KZ"/>
        </w:rPr>
        <w:t>ы</w:t>
      </w:r>
      <w:r w:rsidR="00860066" w:rsidRPr="001C26BB">
        <w:rPr>
          <w:sz w:val="24"/>
          <w:szCs w:val="24"/>
        </w:rPr>
        <w:t xml:space="preserve"> сп</w:t>
      </w:r>
      <w:r w:rsidR="008C3684" w:rsidRPr="001C26BB">
        <w:rPr>
          <w:sz w:val="24"/>
          <w:szCs w:val="24"/>
        </w:rPr>
        <w:t>ециального исследование на кернах</w:t>
      </w:r>
      <w:r w:rsidR="00860066" w:rsidRPr="001C26BB">
        <w:rPr>
          <w:sz w:val="24"/>
          <w:szCs w:val="24"/>
        </w:rPr>
        <w:t xml:space="preserve"> </w:t>
      </w:r>
      <w:proofErr w:type="spellStart"/>
      <w:r w:rsidR="00860066" w:rsidRPr="001C26BB">
        <w:rPr>
          <w:sz w:val="24"/>
          <w:szCs w:val="24"/>
        </w:rPr>
        <w:t>скв</w:t>
      </w:r>
      <w:proofErr w:type="spellEnd"/>
      <w:r w:rsidR="008C3684" w:rsidRPr="001C26BB">
        <w:rPr>
          <w:sz w:val="24"/>
          <w:szCs w:val="24"/>
          <w:lang w:val="kk-KZ"/>
        </w:rPr>
        <w:t>ажин</w:t>
      </w:r>
      <w:r w:rsidR="008C3684" w:rsidRPr="001C26BB">
        <w:rPr>
          <w:sz w:val="24"/>
          <w:szCs w:val="24"/>
        </w:rPr>
        <w:t xml:space="preserve"> №№300, 301, 302, 303, 305, 306</w:t>
      </w:r>
      <w:r w:rsidR="00860066" w:rsidRPr="001C26BB">
        <w:rPr>
          <w:sz w:val="24"/>
          <w:szCs w:val="24"/>
        </w:rPr>
        <w:t xml:space="preserve">. </w:t>
      </w:r>
      <w:r w:rsidR="00860066" w:rsidRPr="001C26BB">
        <w:rPr>
          <w:bCs/>
          <w:iCs/>
          <w:sz w:val="24"/>
          <w:szCs w:val="24"/>
        </w:rPr>
        <w:t xml:space="preserve">Определение коэффициента вытеснения нефти водой выполнено на </w:t>
      </w:r>
      <w:r w:rsidR="00464889" w:rsidRPr="001C26BB">
        <w:rPr>
          <w:bCs/>
          <w:iCs/>
          <w:sz w:val="24"/>
          <w:szCs w:val="24"/>
        </w:rPr>
        <w:t>52</w:t>
      </w:r>
      <w:r w:rsidR="00860066" w:rsidRPr="001C26BB">
        <w:rPr>
          <w:bCs/>
          <w:iCs/>
          <w:sz w:val="24"/>
          <w:szCs w:val="24"/>
        </w:rPr>
        <w:t xml:space="preserve"> образцах керна юрских </w:t>
      </w:r>
      <w:r w:rsidR="00860066" w:rsidRPr="001C26BB">
        <w:rPr>
          <w:bCs/>
          <w:iCs/>
          <w:sz w:val="24"/>
          <w:szCs w:val="24"/>
        </w:rPr>
        <w:lastRenderedPageBreak/>
        <w:t>отложений</w:t>
      </w:r>
      <w:r w:rsidR="00464889" w:rsidRPr="001C26BB">
        <w:rPr>
          <w:bCs/>
          <w:iCs/>
          <w:sz w:val="24"/>
          <w:szCs w:val="24"/>
        </w:rPr>
        <w:t xml:space="preserve"> и на 4 образцах керна меловых отложений</w:t>
      </w:r>
      <w:r w:rsidR="00860066" w:rsidRPr="001C26BB">
        <w:rPr>
          <w:sz w:val="24"/>
          <w:szCs w:val="24"/>
        </w:rPr>
        <w:t xml:space="preserve">. </w:t>
      </w:r>
      <w:r w:rsidR="00860066" w:rsidRPr="001C26BB">
        <w:rPr>
          <w:bCs/>
          <w:iCs/>
          <w:sz w:val="24"/>
          <w:szCs w:val="24"/>
        </w:rPr>
        <w:t>Коэффициент вытеснения не</w:t>
      </w:r>
      <w:r w:rsidRPr="001C26BB">
        <w:rPr>
          <w:bCs/>
          <w:iCs/>
          <w:sz w:val="24"/>
          <w:szCs w:val="24"/>
        </w:rPr>
        <w:t xml:space="preserve">фти </w:t>
      </w:r>
      <w:r w:rsidR="00321284" w:rsidRPr="001C26BB">
        <w:rPr>
          <w:bCs/>
          <w:iCs/>
          <w:sz w:val="24"/>
          <w:szCs w:val="24"/>
        </w:rPr>
        <w:t xml:space="preserve">для мела </w:t>
      </w:r>
      <w:r w:rsidRPr="001C26BB">
        <w:rPr>
          <w:bCs/>
          <w:iCs/>
          <w:sz w:val="24"/>
          <w:szCs w:val="24"/>
        </w:rPr>
        <w:t xml:space="preserve">изменяется в диапазоне </w:t>
      </w:r>
      <w:r w:rsidR="00321284" w:rsidRPr="001C26BB">
        <w:rPr>
          <w:bCs/>
          <w:iCs/>
          <w:sz w:val="24"/>
          <w:szCs w:val="24"/>
        </w:rPr>
        <w:t>0,68-0,73</w:t>
      </w:r>
      <w:r w:rsidR="00860066" w:rsidRPr="001C26BB">
        <w:rPr>
          <w:bCs/>
          <w:iCs/>
          <w:sz w:val="24"/>
          <w:szCs w:val="24"/>
        </w:rPr>
        <w:t xml:space="preserve"> доли ед., в среднем составляя 0,</w:t>
      </w:r>
      <w:r w:rsidR="00321284" w:rsidRPr="001C26BB">
        <w:rPr>
          <w:bCs/>
          <w:iCs/>
          <w:sz w:val="24"/>
          <w:szCs w:val="24"/>
        </w:rPr>
        <w:t>70</w:t>
      </w:r>
      <w:r w:rsidR="00D02B9C" w:rsidRPr="001C26BB">
        <w:rPr>
          <w:bCs/>
          <w:iCs/>
          <w:sz w:val="24"/>
          <w:szCs w:val="24"/>
        </w:rPr>
        <w:t xml:space="preserve"> доли ед</w:t>
      </w:r>
      <w:r w:rsidR="00506315" w:rsidRPr="001C26BB">
        <w:rPr>
          <w:bCs/>
          <w:iCs/>
          <w:sz w:val="24"/>
          <w:szCs w:val="24"/>
        </w:rPr>
        <w:t xml:space="preserve">. </w:t>
      </w:r>
      <w:r w:rsidR="00047C2D" w:rsidRPr="001C26BB">
        <w:rPr>
          <w:bCs/>
          <w:iCs/>
          <w:sz w:val="24"/>
          <w:szCs w:val="24"/>
        </w:rPr>
        <w:t xml:space="preserve">Коэффициент вытеснения нефти для юры изменяется в диапазоне 0,53-0,77 доли ед., в среднем составляя 0,68 доли </w:t>
      </w:r>
      <w:proofErr w:type="spellStart"/>
      <w:proofErr w:type="gramStart"/>
      <w:r w:rsidR="00047C2D" w:rsidRPr="001C26BB">
        <w:rPr>
          <w:bCs/>
          <w:iCs/>
          <w:sz w:val="24"/>
          <w:szCs w:val="24"/>
        </w:rPr>
        <w:t>ед</w:t>
      </w:r>
      <w:proofErr w:type="spellEnd"/>
      <w:r w:rsidR="00047C2D" w:rsidRPr="001C26BB">
        <w:rPr>
          <w:bCs/>
          <w:iCs/>
          <w:sz w:val="24"/>
          <w:szCs w:val="24"/>
        </w:rPr>
        <w:t>,.</w:t>
      </w:r>
      <w:proofErr w:type="gramEnd"/>
      <w:r w:rsidR="00047C2D" w:rsidRPr="001C26BB">
        <w:rPr>
          <w:sz w:val="24"/>
          <w:szCs w:val="24"/>
        </w:rPr>
        <w:t xml:space="preserve"> </w:t>
      </w:r>
      <w:r w:rsidR="005217C2" w:rsidRPr="001C26BB">
        <w:rPr>
          <w:bCs/>
          <w:iCs/>
          <w:sz w:val="24"/>
          <w:szCs w:val="24"/>
        </w:rPr>
        <w:t>Однако, по меловым и юрским горизонтам по результатам ГДИС коэффициент проницаемости в среднем составляет 285,3*10</w:t>
      </w:r>
      <w:r w:rsidR="005217C2" w:rsidRPr="001C26BB">
        <w:rPr>
          <w:bCs/>
          <w:iCs/>
          <w:sz w:val="24"/>
          <w:szCs w:val="24"/>
          <w:vertAlign w:val="superscript"/>
        </w:rPr>
        <w:t>-3</w:t>
      </w:r>
      <w:r w:rsidR="005217C2" w:rsidRPr="001C26BB">
        <w:rPr>
          <w:bCs/>
          <w:iCs/>
          <w:sz w:val="24"/>
          <w:szCs w:val="24"/>
        </w:rPr>
        <w:t xml:space="preserve"> мкм</w:t>
      </w:r>
      <w:r w:rsidR="005217C2" w:rsidRPr="001C26BB">
        <w:rPr>
          <w:bCs/>
          <w:iCs/>
          <w:sz w:val="24"/>
          <w:szCs w:val="24"/>
          <w:vertAlign w:val="superscript"/>
        </w:rPr>
        <w:t xml:space="preserve">2 </w:t>
      </w:r>
      <w:r w:rsidR="005217C2" w:rsidRPr="001C26BB">
        <w:rPr>
          <w:bCs/>
          <w:iCs/>
          <w:sz w:val="24"/>
          <w:szCs w:val="24"/>
        </w:rPr>
        <w:t>и 400*10</w:t>
      </w:r>
      <w:r w:rsidR="005217C2" w:rsidRPr="001C26BB">
        <w:rPr>
          <w:bCs/>
          <w:iCs/>
          <w:sz w:val="24"/>
          <w:szCs w:val="24"/>
          <w:vertAlign w:val="superscript"/>
        </w:rPr>
        <w:t>-3</w:t>
      </w:r>
      <w:r w:rsidR="005217C2" w:rsidRPr="001C26BB">
        <w:rPr>
          <w:bCs/>
          <w:iCs/>
          <w:sz w:val="24"/>
          <w:szCs w:val="24"/>
        </w:rPr>
        <w:t xml:space="preserve"> мкм</w:t>
      </w:r>
      <w:r w:rsidR="005217C2" w:rsidRPr="001C26BB">
        <w:rPr>
          <w:bCs/>
          <w:iCs/>
          <w:sz w:val="24"/>
          <w:szCs w:val="24"/>
          <w:vertAlign w:val="superscript"/>
        </w:rPr>
        <w:t>2</w:t>
      </w:r>
      <w:r w:rsidR="005217C2" w:rsidRPr="001C26BB">
        <w:rPr>
          <w:bCs/>
          <w:iCs/>
          <w:sz w:val="24"/>
          <w:szCs w:val="24"/>
        </w:rPr>
        <w:t xml:space="preserve"> соответственно. Учитывая, что средняя проницаемость, определенная по результатам проведенных ГДИС, имеет более высокие значения и характеризуется более полным охватом залежей по площади, результаты определения </w:t>
      </w:r>
      <w:proofErr w:type="spellStart"/>
      <w:r w:rsidR="005217C2" w:rsidRPr="001C26BB">
        <w:rPr>
          <w:bCs/>
          <w:iCs/>
          <w:sz w:val="24"/>
          <w:szCs w:val="24"/>
        </w:rPr>
        <w:t>коэффицента</w:t>
      </w:r>
      <w:proofErr w:type="spellEnd"/>
      <w:r w:rsidR="005217C2" w:rsidRPr="001C26BB">
        <w:rPr>
          <w:bCs/>
          <w:iCs/>
          <w:sz w:val="24"/>
          <w:szCs w:val="24"/>
        </w:rPr>
        <w:t xml:space="preserve"> вытеснения, полученные при низких значениях проницаемости по керну, были отбракованы. С учетом вышеизложенного, по меловым горизонтам коэффициент вытеснения был принят 0,73 доли ед., а по юрским в среднем 0,70 доли ед.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Для расчета составляющих коэффициента охвата сеткой скважин использовались следующие формулы: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3118"/>
      </w:tblGrid>
      <w:tr w:rsidR="00E41747" w:rsidRPr="001C26BB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>К</w:t>
            </w:r>
            <w:r w:rsidRPr="001C26BB">
              <w:rPr>
                <w:sz w:val="24"/>
                <w:szCs w:val="24"/>
                <w:vertAlign w:val="subscript"/>
              </w:rPr>
              <w:t>1</w:t>
            </w:r>
            <w:r w:rsidRPr="001C26BB">
              <w:rPr>
                <w:sz w:val="24"/>
                <w:szCs w:val="24"/>
              </w:rPr>
              <w:t xml:space="preserve"> = К</w:t>
            </w:r>
            <w:r w:rsidRPr="001C26BB">
              <w:rPr>
                <w:sz w:val="24"/>
                <w:szCs w:val="24"/>
                <w:vertAlign w:val="subscript"/>
              </w:rPr>
              <w:t>1</w:t>
            </w:r>
            <w:r w:rsidRPr="001C26BB">
              <w:rPr>
                <w:b/>
                <w:i/>
                <w:sz w:val="24"/>
                <w:szCs w:val="24"/>
                <w:vertAlign w:val="superscript"/>
              </w:rPr>
              <w:t>’</w:t>
            </w:r>
            <w:r w:rsidRPr="001C26BB">
              <w:rPr>
                <w:sz w:val="24"/>
                <w:szCs w:val="24"/>
                <w:vertAlign w:val="superscript"/>
              </w:rPr>
              <w:t xml:space="preserve"> </w:t>
            </w:r>
            <w:r w:rsidRPr="001C26BB">
              <w:rPr>
                <w:sz w:val="24"/>
                <w:szCs w:val="24"/>
              </w:rPr>
              <w:t>× К</w:t>
            </w:r>
            <w:r w:rsidRPr="001C26BB">
              <w:rPr>
                <w:sz w:val="24"/>
                <w:szCs w:val="24"/>
                <w:vertAlign w:val="subscript"/>
              </w:rPr>
              <w:t>1</w:t>
            </w:r>
            <w:r w:rsidRPr="001C26BB">
              <w:rPr>
                <w:b/>
                <w:i/>
                <w:sz w:val="24"/>
                <w:szCs w:val="24"/>
                <w:vertAlign w:val="superscript"/>
              </w:rPr>
              <w:t>’’</w:t>
            </w:r>
            <w:r w:rsidRPr="001C26BB">
              <w:rPr>
                <w:sz w:val="24"/>
                <w:szCs w:val="24"/>
              </w:rPr>
              <w:t>;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>(3.</w:t>
            </w:r>
            <w:r w:rsidR="00B11DAD">
              <w:rPr>
                <w:sz w:val="24"/>
                <w:szCs w:val="24"/>
              </w:rPr>
              <w:t>4</w:t>
            </w:r>
            <w:r w:rsidRPr="001C26BB">
              <w:rPr>
                <w:sz w:val="24"/>
                <w:szCs w:val="24"/>
              </w:rPr>
              <w:t>.2)</w:t>
            </w:r>
          </w:p>
        </w:tc>
      </w:tr>
      <w:tr w:rsidR="00E41747" w:rsidRPr="001C26BB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noProof/>
                <w:position w:val="-36"/>
                <w:sz w:val="24"/>
                <w:szCs w:val="24"/>
              </w:rPr>
              <w:drawing>
                <wp:inline distT="0" distB="0" distL="0" distR="0" wp14:anchorId="7339648F" wp14:editId="7BD3C8AB">
                  <wp:extent cx="1095375" cy="571500"/>
                  <wp:effectExtent l="0" t="0" r="9525" b="0"/>
                  <wp:docPr id="25618" name="Рисунок 256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26BB">
              <w:rPr>
                <w:sz w:val="24"/>
                <w:szCs w:val="24"/>
              </w:rPr>
              <w:t>;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>(3.</w:t>
            </w:r>
            <w:r w:rsidR="00B11DAD">
              <w:rPr>
                <w:sz w:val="24"/>
                <w:szCs w:val="24"/>
              </w:rPr>
              <w:t>4</w:t>
            </w:r>
            <w:r w:rsidRPr="001C26BB">
              <w:rPr>
                <w:sz w:val="24"/>
                <w:szCs w:val="24"/>
              </w:rPr>
              <w:t>.3)</w:t>
            </w:r>
          </w:p>
        </w:tc>
      </w:tr>
      <w:tr w:rsidR="00E41747" w:rsidRPr="001C26BB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noProof/>
                <w:position w:val="-32"/>
                <w:sz w:val="24"/>
                <w:szCs w:val="24"/>
              </w:rPr>
              <w:t xml:space="preserve">   </w:t>
            </w:r>
            <w:r w:rsidRPr="001C26BB">
              <w:rPr>
                <w:noProof/>
                <w:position w:val="-32"/>
                <w:sz w:val="24"/>
                <w:szCs w:val="24"/>
              </w:rPr>
              <w:drawing>
                <wp:inline distT="0" distB="0" distL="0" distR="0" wp14:anchorId="43043DA7" wp14:editId="14BE0098">
                  <wp:extent cx="1590675" cy="485775"/>
                  <wp:effectExtent l="0" t="0" r="9525" b="9525"/>
                  <wp:docPr id="25619" name="Рисунок 256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26BB">
              <w:rPr>
                <w:sz w:val="24"/>
                <w:szCs w:val="24"/>
              </w:rPr>
              <w:t>;</w:t>
            </w:r>
            <w:r w:rsidRPr="001C26B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>(3.</w:t>
            </w:r>
            <w:r w:rsidR="00B11DAD">
              <w:rPr>
                <w:sz w:val="24"/>
                <w:szCs w:val="24"/>
              </w:rPr>
              <w:t>4</w:t>
            </w:r>
            <w:r w:rsidRPr="001C26BB">
              <w:rPr>
                <w:sz w:val="24"/>
                <w:szCs w:val="24"/>
              </w:rPr>
              <w:t>.4)</w:t>
            </w:r>
          </w:p>
        </w:tc>
      </w:tr>
    </w:tbl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 xml:space="preserve">В этих формулах </w:t>
      </w:r>
      <w:r w:rsidRPr="001C26BB">
        <w:rPr>
          <w:i/>
          <w:sz w:val="24"/>
          <w:szCs w:val="24"/>
        </w:rPr>
        <w:t>К</w:t>
      </w:r>
      <w:r w:rsidRPr="001C26BB">
        <w:rPr>
          <w:i/>
          <w:sz w:val="24"/>
          <w:szCs w:val="24"/>
          <w:vertAlign w:val="subscript"/>
        </w:rPr>
        <w:t>1</w:t>
      </w:r>
      <w:r w:rsidRPr="001C26BB">
        <w:rPr>
          <w:i/>
          <w:sz w:val="24"/>
          <w:szCs w:val="24"/>
          <w:vertAlign w:val="superscript"/>
          <w:lang w:val="en-US"/>
        </w:rPr>
        <w:t>I</w:t>
      </w:r>
      <w:r w:rsidRPr="001C26BB">
        <w:rPr>
          <w:sz w:val="24"/>
          <w:szCs w:val="24"/>
        </w:rPr>
        <w:t xml:space="preserve"> – коэффициент, показывающий возможную долю </w:t>
      </w:r>
      <w:proofErr w:type="spellStart"/>
      <w:r w:rsidRPr="001C26BB">
        <w:rPr>
          <w:sz w:val="24"/>
          <w:szCs w:val="24"/>
        </w:rPr>
        <w:t>разбуривания</w:t>
      </w:r>
      <w:proofErr w:type="spellEnd"/>
      <w:r w:rsidRPr="001C26BB">
        <w:rPr>
          <w:sz w:val="24"/>
          <w:szCs w:val="24"/>
        </w:rPr>
        <w:t xml:space="preserve"> и ввода в промышленную разработку разведанных геологических запасов нефти водонефтяных зон. Часть геологических запасов нефти этих пластов с нефтяной мощностью меньше некоторой минимальной </w:t>
      </w:r>
      <w:proofErr w:type="spellStart"/>
      <w:r w:rsidRPr="001C26BB">
        <w:rPr>
          <w:sz w:val="24"/>
          <w:szCs w:val="24"/>
        </w:rPr>
        <w:t>h</w:t>
      </w:r>
      <w:proofErr w:type="gramStart"/>
      <w:r w:rsidRPr="001C26BB">
        <w:rPr>
          <w:sz w:val="24"/>
          <w:szCs w:val="24"/>
          <w:vertAlign w:val="subscript"/>
        </w:rPr>
        <w:t>н.мин</w:t>
      </w:r>
      <w:proofErr w:type="spellEnd"/>
      <w:proofErr w:type="gramEnd"/>
      <w:r w:rsidRPr="001C26BB">
        <w:rPr>
          <w:sz w:val="24"/>
          <w:szCs w:val="24"/>
        </w:rPr>
        <w:t>/</w:t>
      </w:r>
      <w:proofErr w:type="spellStart"/>
      <w:r w:rsidRPr="001C26BB">
        <w:rPr>
          <w:sz w:val="24"/>
          <w:szCs w:val="24"/>
        </w:rPr>
        <w:t>h</w:t>
      </w:r>
      <w:r w:rsidRPr="001C26BB">
        <w:rPr>
          <w:sz w:val="24"/>
          <w:szCs w:val="24"/>
          <w:vertAlign w:val="subscript"/>
        </w:rPr>
        <w:t>чнз</w:t>
      </w:r>
      <w:proofErr w:type="spellEnd"/>
      <w:r w:rsidRPr="001C26BB">
        <w:rPr>
          <w:sz w:val="24"/>
          <w:szCs w:val="24"/>
        </w:rPr>
        <w:t>, установленной по соображениям экономического характера, не будет разбурена и введена в разработку: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03"/>
        <w:gridCol w:w="1068"/>
      </w:tblGrid>
      <w:tr w:rsidR="00E41747" w:rsidRPr="001C26BB" w:rsidTr="00B11DAD">
        <w:trPr>
          <w:trHeight w:val="157"/>
        </w:trPr>
        <w:tc>
          <w:tcPr>
            <w:tcW w:w="5703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sym w:font="Symbol" w:char="0028"/>
            </w:r>
            <w:proofErr w:type="spellStart"/>
            <w:r w:rsidRPr="001C26BB">
              <w:rPr>
                <w:sz w:val="24"/>
                <w:szCs w:val="24"/>
              </w:rPr>
              <w:t>h</w:t>
            </w:r>
            <w:proofErr w:type="gramStart"/>
            <w:r w:rsidRPr="001C26BB">
              <w:rPr>
                <w:sz w:val="24"/>
                <w:szCs w:val="24"/>
                <w:vertAlign w:val="subscript"/>
              </w:rPr>
              <w:t>н.мин</w:t>
            </w:r>
            <w:proofErr w:type="spellEnd"/>
            <w:proofErr w:type="gramEnd"/>
            <w:r w:rsidRPr="001C26BB">
              <w:rPr>
                <w:sz w:val="24"/>
                <w:szCs w:val="24"/>
              </w:rPr>
              <w:t>/</w:t>
            </w:r>
            <w:proofErr w:type="spellStart"/>
            <w:r w:rsidRPr="001C26BB">
              <w:rPr>
                <w:sz w:val="24"/>
                <w:szCs w:val="24"/>
              </w:rPr>
              <w:t>h</w:t>
            </w:r>
            <w:r w:rsidRPr="001C26BB">
              <w:rPr>
                <w:sz w:val="24"/>
                <w:szCs w:val="24"/>
                <w:vertAlign w:val="subscript"/>
              </w:rPr>
              <w:t>чнз</w:t>
            </w:r>
            <w:proofErr w:type="spellEnd"/>
            <w:r w:rsidRPr="001C26BB">
              <w:rPr>
                <w:sz w:val="24"/>
                <w:szCs w:val="24"/>
              </w:rPr>
              <w:sym w:font="Symbol" w:char="0029"/>
            </w:r>
            <w:r w:rsidRPr="001C26BB">
              <w:rPr>
                <w:sz w:val="24"/>
                <w:szCs w:val="24"/>
                <w:vertAlign w:val="superscript"/>
              </w:rPr>
              <w:t>2</w:t>
            </w:r>
            <w:r w:rsidRPr="001C26BB">
              <w:rPr>
                <w:sz w:val="24"/>
                <w:szCs w:val="24"/>
              </w:rPr>
              <w:t xml:space="preserve"> = 1/</w:t>
            </w:r>
            <w:r w:rsidRPr="001C26BB">
              <w:rPr>
                <w:sz w:val="24"/>
                <w:szCs w:val="24"/>
              </w:rPr>
              <w:sym w:font="Symbol" w:char="005B"/>
            </w:r>
            <w:r w:rsidRPr="001C26BB">
              <w:rPr>
                <w:sz w:val="24"/>
                <w:szCs w:val="24"/>
              </w:rPr>
              <w:t>1+</w:t>
            </w:r>
            <w:r w:rsidRPr="001C26BB">
              <w:rPr>
                <w:sz w:val="24"/>
                <w:szCs w:val="24"/>
              </w:rPr>
              <w:sym w:font="Symbol" w:char="0028"/>
            </w:r>
            <w:r w:rsidRPr="001C26BB">
              <w:rPr>
                <w:sz w:val="24"/>
                <w:szCs w:val="24"/>
              </w:rPr>
              <w:t>А</w:t>
            </w:r>
            <w:r w:rsidRPr="001C26BB">
              <w:rPr>
                <w:sz w:val="24"/>
                <w:szCs w:val="24"/>
                <w:vertAlign w:val="subscript"/>
              </w:rPr>
              <w:t>2</w:t>
            </w:r>
            <w:r w:rsidRPr="001C26BB">
              <w:rPr>
                <w:sz w:val="24"/>
                <w:szCs w:val="24"/>
              </w:rPr>
              <w:t>/(1-А</w:t>
            </w:r>
            <w:r w:rsidRPr="001C26BB">
              <w:rPr>
                <w:sz w:val="24"/>
                <w:szCs w:val="24"/>
                <w:vertAlign w:val="subscript"/>
              </w:rPr>
              <w:t>2</w:t>
            </w:r>
            <w:r w:rsidRPr="001C26BB">
              <w:rPr>
                <w:sz w:val="24"/>
                <w:szCs w:val="24"/>
              </w:rPr>
              <w:t>)</w:t>
            </w:r>
            <w:r w:rsidRPr="001C26BB">
              <w:rPr>
                <w:sz w:val="24"/>
                <w:szCs w:val="24"/>
              </w:rPr>
              <w:sym w:font="Symbol" w:char="0029"/>
            </w:r>
            <w:r w:rsidRPr="001C26BB">
              <w:rPr>
                <w:sz w:val="24"/>
                <w:szCs w:val="24"/>
              </w:rPr>
              <w:t xml:space="preserve"> ∙ </w:t>
            </w:r>
            <w:r w:rsidRPr="001C26BB">
              <w:rPr>
                <w:sz w:val="24"/>
                <w:szCs w:val="24"/>
              </w:rPr>
              <w:sym w:font="Symbol" w:char="006D"/>
            </w:r>
            <w:r w:rsidRPr="001C26BB">
              <w:rPr>
                <w:sz w:val="24"/>
                <w:szCs w:val="24"/>
                <w:vertAlign w:val="subscript"/>
              </w:rPr>
              <w:t>в</w:t>
            </w:r>
            <w:r w:rsidRPr="001C26BB">
              <w:rPr>
                <w:sz w:val="24"/>
                <w:szCs w:val="24"/>
              </w:rPr>
              <w:t>/</w:t>
            </w:r>
            <w:r w:rsidRPr="001C26BB">
              <w:rPr>
                <w:sz w:val="24"/>
                <w:szCs w:val="24"/>
              </w:rPr>
              <w:sym w:font="Symbol" w:char="006D"/>
            </w:r>
            <w:r w:rsidRPr="001C26BB">
              <w:rPr>
                <w:sz w:val="24"/>
                <w:szCs w:val="24"/>
                <w:vertAlign w:val="subscript"/>
              </w:rPr>
              <w:t>н</w:t>
            </w:r>
            <w:r w:rsidRPr="001C26BB">
              <w:rPr>
                <w:sz w:val="24"/>
                <w:szCs w:val="24"/>
              </w:rPr>
              <w:t xml:space="preserve"> ∙ </w:t>
            </w:r>
            <w:r w:rsidRPr="001C26BB">
              <w:rPr>
                <w:sz w:val="24"/>
                <w:szCs w:val="24"/>
              </w:rPr>
              <w:sym w:font="Symbol" w:char="0067"/>
            </w:r>
            <w:r w:rsidRPr="001C26BB">
              <w:rPr>
                <w:sz w:val="24"/>
                <w:szCs w:val="24"/>
                <w:vertAlign w:val="subscript"/>
              </w:rPr>
              <w:t>н</w:t>
            </w:r>
            <w:r w:rsidRPr="001C26BB">
              <w:rPr>
                <w:sz w:val="24"/>
                <w:szCs w:val="24"/>
              </w:rPr>
              <w:t>/</w:t>
            </w:r>
            <w:r w:rsidRPr="001C26BB">
              <w:rPr>
                <w:sz w:val="24"/>
                <w:szCs w:val="24"/>
              </w:rPr>
              <w:sym w:font="Symbol" w:char="0067"/>
            </w:r>
            <w:r w:rsidRPr="001C26BB">
              <w:rPr>
                <w:sz w:val="24"/>
                <w:szCs w:val="24"/>
                <w:vertAlign w:val="subscript"/>
              </w:rPr>
              <w:t>в</w:t>
            </w:r>
            <w:r w:rsidRPr="001C26BB">
              <w:rPr>
                <w:sz w:val="24"/>
                <w:szCs w:val="24"/>
              </w:rPr>
              <w:sym w:font="Symbol" w:char="005D"/>
            </w:r>
            <w:r w:rsidRPr="001C26BB">
              <w:rPr>
                <w:sz w:val="24"/>
                <w:szCs w:val="24"/>
                <w:vertAlign w:val="superscript"/>
              </w:rPr>
              <w:t>2</w:t>
            </w:r>
            <w:r w:rsidRPr="001C26BB">
              <w:rPr>
                <w:sz w:val="24"/>
                <w:szCs w:val="24"/>
              </w:rPr>
              <w:t>;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E41747" w:rsidRPr="001C26BB" w:rsidRDefault="00B11DAD" w:rsidP="00B11DAD">
            <w:pPr>
              <w:overflowPunct w:val="0"/>
              <w:spacing w:line="360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41747" w:rsidRPr="001C26BB">
              <w:rPr>
                <w:sz w:val="24"/>
                <w:szCs w:val="24"/>
              </w:rPr>
              <w:t>(3</w:t>
            </w:r>
            <w:r>
              <w:rPr>
                <w:sz w:val="24"/>
                <w:szCs w:val="24"/>
              </w:rPr>
              <w:t>.4.5)</w:t>
            </w:r>
          </w:p>
        </w:tc>
      </w:tr>
    </w:tbl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где: А</w:t>
      </w:r>
      <w:r w:rsidRPr="001C26BB">
        <w:rPr>
          <w:sz w:val="24"/>
          <w:szCs w:val="24"/>
          <w:vertAlign w:val="subscript"/>
        </w:rPr>
        <w:t>2</w:t>
      </w:r>
      <w:r w:rsidRPr="001C26BB">
        <w:rPr>
          <w:sz w:val="24"/>
          <w:szCs w:val="24"/>
        </w:rPr>
        <w:t>/(1-А</w:t>
      </w:r>
      <w:r w:rsidRPr="001C26BB">
        <w:rPr>
          <w:sz w:val="24"/>
          <w:szCs w:val="24"/>
          <w:vertAlign w:val="subscript"/>
        </w:rPr>
        <w:t>2</w:t>
      </w:r>
      <w:r w:rsidRPr="001C26BB">
        <w:rPr>
          <w:sz w:val="24"/>
          <w:szCs w:val="24"/>
        </w:rPr>
        <w:t>) – предельный максимально допустимый весовой водонефтяной фактор;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>А</w:t>
      </w:r>
      <w:r w:rsidRPr="001C26BB">
        <w:rPr>
          <w:sz w:val="24"/>
          <w:szCs w:val="24"/>
          <w:vertAlign w:val="subscript"/>
        </w:rPr>
        <w:t>2</w:t>
      </w:r>
      <w:r w:rsidRPr="001C26BB">
        <w:rPr>
          <w:sz w:val="24"/>
          <w:szCs w:val="24"/>
        </w:rPr>
        <w:t xml:space="preserve"> – предельная весовая обводненность добываемой продукции, при которой наступает экономический предел рентабельности процесса добычи нефти. Данный параметр зависит от значительного ряда как технологических, так и экономических факторов, таких как: дебиты скважин, глубина залегания продуктивных пластов, предельная себестоимость и цена реализации добываемой нефти. В связи с этим, предельная обводненность добываемой продукции в расчетах для месторождения взята по </w:t>
      </w:r>
      <w:r w:rsidRPr="001C26BB">
        <w:rPr>
          <w:sz w:val="24"/>
          <w:szCs w:val="24"/>
        </w:rPr>
        <w:lastRenderedPageBreak/>
        <w:t xml:space="preserve">литературным данным, аналогично предельной обводненности, применяемой при определении вовлеченных в разработку извлекаемых запасов в методиках Сазонова Б.Ф., </w:t>
      </w:r>
      <w:proofErr w:type="spellStart"/>
      <w:r w:rsidRPr="001C26BB">
        <w:rPr>
          <w:sz w:val="24"/>
          <w:szCs w:val="24"/>
        </w:rPr>
        <w:t>Камбарова</w:t>
      </w:r>
      <w:proofErr w:type="spellEnd"/>
      <w:r w:rsidRPr="001C26BB">
        <w:rPr>
          <w:sz w:val="24"/>
          <w:szCs w:val="24"/>
        </w:rPr>
        <w:t xml:space="preserve"> Г.С., Максимова М.М. и Назарова-Сипачева, равной 98%;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sym w:font="Symbol" w:char="006D"/>
      </w:r>
      <w:r w:rsidRPr="001C26BB">
        <w:rPr>
          <w:sz w:val="24"/>
          <w:szCs w:val="24"/>
          <w:vertAlign w:val="subscript"/>
        </w:rPr>
        <w:t>в</w:t>
      </w:r>
      <w:r w:rsidRPr="001C26BB">
        <w:rPr>
          <w:sz w:val="24"/>
          <w:szCs w:val="24"/>
        </w:rPr>
        <w:t>/</w:t>
      </w:r>
      <w:r w:rsidRPr="001C26BB">
        <w:rPr>
          <w:sz w:val="24"/>
          <w:szCs w:val="24"/>
        </w:rPr>
        <w:sym w:font="Symbol" w:char="006D"/>
      </w:r>
      <w:r w:rsidRPr="001C26BB">
        <w:rPr>
          <w:sz w:val="24"/>
          <w:szCs w:val="24"/>
          <w:vertAlign w:val="subscript"/>
        </w:rPr>
        <w:t>н</w:t>
      </w:r>
      <w:r w:rsidRPr="001C26BB">
        <w:rPr>
          <w:sz w:val="24"/>
          <w:szCs w:val="24"/>
        </w:rPr>
        <w:t xml:space="preserve"> – соотношение вязкостей воды и нефти в пластовых условиях;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sym w:font="Symbol" w:char="0067"/>
      </w:r>
      <w:r w:rsidRPr="001C26BB">
        <w:rPr>
          <w:sz w:val="24"/>
          <w:szCs w:val="24"/>
          <w:vertAlign w:val="subscript"/>
        </w:rPr>
        <w:t>н</w:t>
      </w:r>
      <w:r w:rsidRPr="001C26BB">
        <w:rPr>
          <w:sz w:val="24"/>
          <w:szCs w:val="24"/>
        </w:rPr>
        <w:t>/</w:t>
      </w:r>
      <w:r w:rsidRPr="001C26BB">
        <w:rPr>
          <w:sz w:val="24"/>
          <w:szCs w:val="24"/>
        </w:rPr>
        <w:sym w:font="Symbol" w:char="0067"/>
      </w:r>
      <w:r w:rsidRPr="001C26BB">
        <w:rPr>
          <w:sz w:val="24"/>
          <w:szCs w:val="24"/>
          <w:vertAlign w:val="subscript"/>
        </w:rPr>
        <w:t>в</w:t>
      </w:r>
      <w:r w:rsidRPr="001C26BB">
        <w:rPr>
          <w:sz w:val="24"/>
          <w:szCs w:val="24"/>
        </w:rPr>
        <w:t xml:space="preserve"> – соотношение удельных весов вытесняемой нефти и вытесняющей воды в пластовых условиях.</w:t>
      </w:r>
    </w:p>
    <w:p w:rsidR="00E41747" w:rsidRPr="001C26BB" w:rsidRDefault="00E41747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 xml:space="preserve">Минимальная </w:t>
      </w:r>
      <w:proofErr w:type="spellStart"/>
      <w:r w:rsidRPr="001C26BB">
        <w:rPr>
          <w:sz w:val="24"/>
          <w:szCs w:val="24"/>
        </w:rPr>
        <w:t>нефтенасыщенная</w:t>
      </w:r>
      <w:proofErr w:type="spellEnd"/>
      <w:r w:rsidRPr="001C26BB">
        <w:rPr>
          <w:sz w:val="24"/>
          <w:szCs w:val="24"/>
        </w:rPr>
        <w:t xml:space="preserve"> толщина для размещения проектных скважин (</w:t>
      </w:r>
      <w:proofErr w:type="spellStart"/>
      <w:r w:rsidRPr="001C26BB">
        <w:rPr>
          <w:sz w:val="24"/>
          <w:szCs w:val="24"/>
        </w:rPr>
        <w:t>h</w:t>
      </w:r>
      <w:proofErr w:type="gramStart"/>
      <w:r w:rsidRPr="001C26BB">
        <w:rPr>
          <w:sz w:val="24"/>
          <w:szCs w:val="24"/>
          <w:vertAlign w:val="subscript"/>
        </w:rPr>
        <w:t>н.мин</w:t>
      </w:r>
      <w:proofErr w:type="spellEnd"/>
      <w:proofErr w:type="gramEnd"/>
      <w:r w:rsidRPr="001C26BB">
        <w:rPr>
          <w:sz w:val="24"/>
          <w:szCs w:val="24"/>
        </w:rPr>
        <w:t>) определялась по формуле:</w:t>
      </w:r>
    </w:p>
    <w:p w:rsidR="00E41747" w:rsidRPr="001C26BB" w:rsidRDefault="008631C8" w:rsidP="001C26B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6.2pt;margin-top:9.05pt;width:273.25pt;height:22pt;z-index:251659264" fillcolor="window">
            <v:imagedata r:id="rId10" o:title=""/>
          </v:shape>
          <o:OLEObject Type="Embed" ProgID="Equation.3" ShapeID="_x0000_s1026" DrawAspect="Content" ObjectID="_1707908979" r:id="rId11"/>
        </w:object>
      </w:r>
    </w:p>
    <w:tbl>
      <w:tblPr>
        <w:tblW w:w="9192" w:type="dxa"/>
        <w:tblLayout w:type="fixed"/>
        <w:tblLook w:val="04A0" w:firstRow="1" w:lastRow="0" w:firstColumn="1" w:lastColumn="0" w:noHBand="0" w:noVBand="1"/>
      </w:tblPr>
      <w:tblGrid>
        <w:gridCol w:w="5336"/>
        <w:gridCol w:w="3856"/>
      </w:tblGrid>
      <w:tr w:rsidR="00E41747" w:rsidRPr="001C26BB" w:rsidTr="00FC1687">
        <w:trPr>
          <w:trHeight w:val="169"/>
        </w:trPr>
        <w:tc>
          <w:tcPr>
            <w:tcW w:w="5336" w:type="dxa"/>
            <w:shd w:val="clear" w:color="auto" w:fill="auto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:rsidR="00E41747" w:rsidRPr="001C26BB" w:rsidRDefault="00E41747" w:rsidP="001C26BB">
            <w:pPr>
              <w:overflowPunct w:val="0"/>
              <w:spacing w:line="360" w:lineRule="auto"/>
              <w:ind w:firstLine="709"/>
              <w:jc w:val="right"/>
              <w:textAlignment w:val="baseline"/>
              <w:rPr>
                <w:sz w:val="24"/>
                <w:szCs w:val="24"/>
              </w:rPr>
            </w:pPr>
            <w:r w:rsidRPr="001C26BB">
              <w:rPr>
                <w:sz w:val="24"/>
                <w:szCs w:val="24"/>
              </w:rPr>
              <w:t>(3.</w:t>
            </w:r>
            <w:r w:rsidR="00B11DAD">
              <w:rPr>
                <w:sz w:val="24"/>
                <w:szCs w:val="24"/>
              </w:rPr>
              <w:t>4</w:t>
            </w:r>
            <w:r w:rsidRPr="001C26BB">
              <w:rPr>
                <w:sz w:val="24"/>
                <w:szCs w:val="24"/>
              </w:rPr>
              <w:t>.6)</w:t>
            </w:r>
          </w:p>
        </w:tc>
      </w:tr>
    </w:tbl>
    <w:p w:rsidR="008873D2" w:rsidRPr="001C26BB" w:rsidRDefault="00E41747" w:rsidP="0086697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C26BB">
        <w:rPr>
          <w:sz w:val="24"/>
          <w:szCs w:val="24"/>
        </w:rPr>
        <w:t xml:space="preserve">Результаты расчета минимальной </w:t>
      </w:r>
      <w:proofErr w:type="spellStart"/>
      <w:r w:rsidRPr="001C26BB">
        <w:rPr>
          <w:sz w:val="24"/>
          <w:szCs w:val="24"/>
        </w:rPr>
        <w:t>нефтенасыщенной</w:t>
      </w:r>
      <w:proofErr w:type="spellEnd"/>
      <w:r w:rsidRPr="001C26BB">
        <w:rPr>
          <w:sz w:val="24"/>
          <w:szCs w:val="24"/>
        </w:rPr>
        <w:t xml:space="preserve"> толщины для размещения скважин представлены в таблице 3.</w:t>
      </w:r>
      <w:r w:rsidR="0086697B">
        <w:rPr>
          <w:sz w:val="24"/>
          <w:szCs w:val="24"/>
        </w:rPr>
        <w:t>4</w:t>
      </w:r>
      <w:r w:rsidRPr="001C26BB">
        <w:rPr>
          <w:sz w:val="24"/>
          <w:szCs w:val="24"/>
        </w:rPr>
        <w:t>.1.</w:t>
      </w:r>
    </w:p>
    <w:p w:rsidR="00E41747" w:rsidRPr="00C7598B" w:rsidRDefault="00E41747" w:rsidP="0086697B">
      <w:pPr>
        <w:overflowPunct w:val="0"/>
        <w:jc w:val="both"/>
        <w:textAlignment w:val="baseline"/>
        <w:rPr>
          <w:b/>
        </w:rPr>
      </w:pPr>
      <w:r w:rsidRPr="00C7598B">
        <w:rPr>
          <w:b/>
        </w:rPr>
        <w:t>Таблица 3.</w:t>
      </w:r>
      <w:r w:rsidR="00B11DAD">
        <w:rPr>
          <w:b/>
        </w:rPr>
        <w:t>4</w:t>
      </w:r>
      <w:r w:rsidRPr="00C7598B">
        <w:rPr>
          <w:b/>
        </w:rPr>
        <w:t>.1</w:t>
      </w:r>
      <w:r w:rsidR="0086697B" w:rsidRPr="00C7598B">
        <w:rPr>
          <w:b/>
        </w:rPr>
        <w:t>-</w:t>
      </w:r>
      <w:r w:rsidRPr="00C7598B">
        <w:rPr>
          <w:b/>
        </w:rPr>
        <w:t xml:space="preserve">Расчет минимальной </w:t>
      </w:r>
      <w:proofErr w:type="spellStart"/>
      <w:r w:rsidRPr="00C7598B">
        <w:rPr>
          <w:b/>
        </w:rPr>
        <w:t>нефтенасыщенной</w:t>
      </w:r>
      <w:proofErr w:type="spellEnd"/>
      <w:r w:rsidRPr="00C7598B">
        <w:rPr>
          <w:b/>
        </w:rPr>
        <w:t xml:space="preserve"> толщины для размещения скважин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5"/>
        <w:gridCol w:w="821"/>
        <w:gridCol w:w="711"/>
        <w:gridCol w:w="821"/>
        <w:gridCol w:w="711"/>
        <w:gridCol w:w="711"/>
        <w:gridCol w:w="711"/>
      </w:tblGrid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>Параметры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 xml:space="preserve">II 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 xml:space="preserve">III 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 xml:space="preserve">IV </w:t>
            </w:r>
          </w:p>
        </w:tc>
        <w:tc>
          <w:tcPr>
            <w:tcW w:w="341" w:type="pct"/>
          </w:tcPr>
          <w:p w:rsidR="00032C11" w:rsidRPr="009576B9" w:rsidRDefault="00032C11" w:rsidP="00032C11">
            <w:pPr>
              <w:jc w:val="center"/>
              <w:rPr>
                <w:sz w:val="22"/>
                <w:szCs w:val="22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248" w:type="pct"/>
          </w:tcPr>
          <w:p w:rsidR="00032C11" w:rsidRPr="009576B9" w:rsidRDefault="00032C11" w:rsidP="00032C11">
            <w:pPr>
              <w:jc w:val="center"/>
              <w:rPr>
                <w:sz w:val="22"/>
                <w:szCs w:val="22"/>
                <w:lang w:val="en-US"/>
              </w:rPr>
            </w:pPr>
            <w:r w:rsidRPr="009576B9">
              <w:rPr>
                <w:b/>
                <w:bCs/>
                <w:color w:val="000000"/>
                <w:sz w:val="22"/>
                <w:szCs w:val="22"/>
              </w:rPr>
              <w:t>V</w:t>
            </w:r>
            <w:r w:rsidRPr="009576B9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 xml:space="preserve">Средняя </w:t>
            </w:r>
            <w:proofErr w:type="spellStart"/>
            <w:r w:rsidRPr="009576B9">
              <w:rPr>
                <w:color w:val="000000"/>
                <w:sz w:val="22"/>
                <w:szCs w:val="22"/>
              </w:rPr>
              <w:t>нефтенасыщенная</w:t>
            </w:r>
            <w:proofErr w:type="spellEnd"/>
            <w:r w:rsidRPr="009576B9">
              <w:rPr>
                <w:color w:val="000000"/>
                <w:sz w:val="22"/>
                <w:szCs w:val="22"/>
              </w:rPr>
              <w:t xml:space="preserve"> толщина ВНЗ, 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9,34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8,13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5,87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8,17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2,65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Предельная обводненность продукции, доли ед.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0,98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Вязкость нефти в пластовых условиях, мПа*с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24,55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11,53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19,85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6,33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Вязкость воды в пластовых условиях, мПа*с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Плотность нефти в поверхностных условиях, г/см</w:t>
            </w:r>
            <w:r w:rsidRPr="009576B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0,868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0,883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0,856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0,818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0,809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Плотность воды в поверхностных условиях, г/см</w:t>
            </w:r>
            <w:r w:rsidRPr="009576B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1,178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1,184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1,182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1,194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1,193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Объемный коэффициент, доли ед.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1,045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1,086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1,061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1,101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1,425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1,505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 xml:space="preserve">Минимальная </w:t>
            </w:r>
            <w:proofErr w:type="spellStart"/>
            <w:r w:rsidRPr="009576B9">
              <w:rPr>
                <w:color w:val="000000"/>
                <w:sz w:val="22"/>
                <w:szCs w:val="22"/>
              </w:rPr>
              <w:t>нефтенасыщенная</w:t>
            </w:r>
            <w:proofErr w:type="spellEnd"/>
            <w:r w:rsidRPr="009576B9">
              <w:rPr>
                <w:color w:val="000000"/>
                <w:sz w:val="22"/>
                <w:szCs w:val="22"/>
              </w:rPr>
              <w:t xml:space="preserve"> толщина для размещения скважин, м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Коэффициент вытеснения, доли ед.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</w:rPr>
              <w:t>0,7</w:t>
            </w:r>
            <w:r w:rsidRPr="009576B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</w:rPr>
              <w:t>0,</w:t>
            </w:r>
            <w:r w:rsidRPr="009576B9">
              <w:rPr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</w:rPr>
              <w:t>0,7</w:t>
            </w:r>
            <w:r w:rsidRPr="009576B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</w:rPr>
              <w:t>0,</w:t>
            </w:r>
            <w:r w:rsidRPr="009576B9">
              <w:rPr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0,68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0,68</w:t>
            </w:r>
          </w:p>
        </w:tc>
      </w:tr>
      <w:tr w:rsidR="00032C11" w:rsidRPr="00F92A72" w:rsidTr="00032C11">
        <w:trPr>
          <w:trHeight w:val="20"/>
          <w:jc w:val="center"/>
        </w:trPr>
        <w:tc>
          <w:tcPr>
            <w:tcW w:w="2746" w:type="pct"/>
            <w:shd w:val="clear" w:color="auto" w:fill="auto"/>
            <w:vAlign w:val="center"/>
            <w:hideMark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Соотношение подвижностей вытесняющего агента и нефти в пластовых условиях, µ</w:t>
            </w:r>
            <w:r w:rsidRPr="009576B9">
              <w:rPr>
                <w:color w:val="000000"/>
                <w:sz w:val="22"/>
                <w:szCs w:val="22"/>
                <w:vertAlign w:val="subscript"/>
              </w:rPr>
              <w:t>*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  <w:lang w:val="en-US"/>
              </w:rPr>
              <w:t>13,672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  <w:lang w:val="en-US"/>
              </w:rPr>
              <w:t>6,139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  <w:lang w:val="en-US"/>
              </w:rPr>
              <w:t>11,255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C11" w:rsidRPr="009576B9" w:rsidRDefault="00032C11" w:rsidP="00032C1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576B9">
              <w:rPr>
                <w:color w:val="000000"/>
                <w:sz w:val="22"/>
                <w:szCs w:val="22"/>
                <w:lang w:val="en-US"/>
              </w:rPr>
              <w:t>3,370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0,408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C11" w:rsidRPr="009576B9" w:rsidRDefault="00032C11" w:rsidP="00032C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76B9">
              <w:rPr>
                <w:color w:val="000000"/>
                <w:sz w:val="22"/>
                <w:szCs w:val="22"/>
              </w:rPr>
              <w:t>0,357</w:t>
            </w:r>
          </w:p>
        </w:tc>
      </w:tr>
    </w:tbl>
    <w:p w:rsidR="00E41747" w:rsidRPr="00181E7B" w:rsidRDefault="00E41747" w:rsidP="00181E7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181E7B" w:rsidRDefault="00E41747" w:rsidP="00181E7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81E7B">
        <w:rPr>
          <w:sz w:val="24"/>
          <w:szCs w:val="24"/>
        </w:rPr>
        <w:t>Расчет технологических показателей осуществлялся на период до достижения 98% обводненности продукции скважины.</w:t>
      </w:r>
    </w:p>
    <w:p w:rsidR="00E41747" w:rsidRPr="00181E7B" w:rsidRDefault="00E41747" w:rsidP="00181E7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81E7B">
        <w:rPr>
          <w:i/>
          <w:sz w:val="24"/>
          <w:szCs w:val="24"/>
        </w:rPr>
        <w:t>К</w:t>
      </w:r>
      <w:r w:rsidRPr="00181E7B">
        <w:rPr>
          <w:i/>
          <w:sz w:val="24"/>
          <w:szCs w:val="24"/>
          <w:vertAlign w:val="subscript"/>
        </w:rPr>
        <w:t>1</w:t>
      </w:r>
      <w:r w:rsidRPr="00181E7B">
        <w:rPr>
          <w:i/>
          <w:sz w:val="24"/>
          <w:szCs w:val="24"/>
          <w:vertAlign w:val="superscript"/>
          <w:lang w:val="en-US"/>
        </w:rPr>
        <w:t>II</w:t>
      </w:r>
      <w:r w:rsidRPr="00181E7B">
        <w:rPr>
          <w:sz w:val="24"/>
          <w:szCs w:val="24"/>
        </w:rPr>
        <w:t xml:space="preserve"> – коэффициент дренирования нефтяных пластов при данной сетке размещения добывающих скважин, учитывающий хаотическую прерывистость продуктивных пластов;</w:t>
      </w:r>
    </w:p>
    <w:p w:rsidR="00E41747" w:rsidRPr="00181E7B" w:rsidRDefault="00E41747" w:rsidP="00181E7B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181E7B">
        <w:rPr>
          <w:sz w:val="24"/>
          <w:szCs w:val="24"/>
          <w:lang w:val="en-US"/>
        </w:rPr>
        <w:t>W</w:t>
      </w:r>
      <w:r w:rsidRPr="00181E7B">
        <w:rPr>
          <w:sz w:val="24"/>
          <w:szCs w:val="24"/>
        </w:rPr>
        <w:t xml:space="preserve"> – доля общей площади продуктивного пласта, занятой </w:t>
      </w:r>
      <w:proofErr w:type="spellStart"/>
      <w:r w:rsidRPr="00181E7B">
        <w:rPr>
          <w:sz w:val="24"/>
          <w:szCs w:val="24"/>
        </w:rPr>
        <w:t>неколлектором</w:t>
      </w:r>
      <w:proofErr w:type="spellEnd"/>
      <w:r w:rsidRPr="00181E7B">
        <w:rPr>
          <w:sz w:val="24"/>
          <w:szCs w:val="24"/>
        </w:rPr>
        <w:t>, при взаимном совершенно хаотическом размещении зон пласта-коллектора и пласта-</w:t>
      </w:r>
      <w:proofErr w:type="spellStart"/>
      <w:r w:rsidRPr="00181E7B">
        <w:rPr>
          <w:sz w:val="24"/>
          <w:szCs w:val="24"/>
        </w:rPr>
        <w:t>неколлектора</w:t>
      </w:r>
      <w:proofErr w:type="spellEnd"/>
      <w:r w:rsidRPr="00181E7B">
        <w:rPr>
          <w:sz w:val="24"/>
          <w:szCs w:val="24"/>
        </w:rPr>
        <w:t xml:space="preserve">. Результаты определения доли </w:t>
      </w:r>
      <w:proofErr w:type="spellStart"/>
      <w:r w:rsidRPr="00181E7B">
        <w:rPr>
          <w:sz w:val="24"/>
          <w:szCs w:val="24"/>
        </w:rPr>
        <w:t>неколлектора</w:t>
      </w:r>
      <w:proofErr w:type="spellEnd"/>
      <w:r w:rsidRPr="00181E7B">
        <w:rPr>
          <w:sz w:val="24"/>
          <w:szCs w:val="24"/>
        </w:rPr>
        <w:t xml:space="preserve"> по эксплуатационным объектам представлены в таблице 3.</w:t>
      </w:r>
      <w:r w:rsidR="00181E7B">
        <w:rPr>
          <w:sz w:val="24"/>
          <w:szCs w:val="24"/>
        </w:rPr>
        <w:t>4</w:t>
      </w:r>
      <w:r w:rsidRPr="00181E7B">
        <w:rPr>
          <w:sz w:val="24"/>
          <w:szCs w:val="24"/>
        </w:rPr>
        <w:t>.2.</w:t>
      </w:r>
    </w:p>
    <w:p w:rsidR="00E41747" w:rsidRPr="00181E7B" w:rsidRDefault="00E41747" w:rsidP="00181E7B">
      <w:pPr>
        <w:overflowPunct w:val="0"/>
        <w:textAlignment w:val="baseline"/>
        <w:rPr>
          <w:b/>
        </w:rPr>
      </w:pPr>
      <w:r w:rsidRPr="00181E7B">
        <w:rPr>
          <w:b/>
        </w:rPr>
        <w:t>Таблица 3.</w:t>
      </w:r>
      <w:r w:rsidR="00181E7B" w:rsidRPr="00181E7B">
        <w:rPr>
          <w:b/>
        </w:rPr>
        <w:t>4</w:t>
      </w:r>
      <w:r w:rsidRPr="00181E7B">
        <w:rPr>
          <w:b/>
        </w:rPr>
        <w:t>.2</w:t>
      </w:r>
      <w:r w:rsidR="00181E7B" w:rsidRPr="00181E7B">
        <w:rPr>
          <w:b/>
        </w:rPr>
        <w:t>-</w:t>
      </w:r>
      <w:r w:rsidRPr="00181E7B">
        <w:rPr>
          <w:b/>
        </w:rPr>
        <w:t xml:space="preserve">Результаты определения доли </w:t>
      </w:r>
      <w:proofErr w:type="spellStart"/>
      <w:r w:rsidRPr="00181E7B">
        <w:rPr>
          <w:b/>
        </w:rPr>
        <w:t>неколлектора</w:t>
      </w:r>
      <w:proofErr w:type="spellEnd"/>
      <w:r w:rsidRPr="00181E7B">
        <w:rPr>
          <w:b/>
        </w:rPr>
        <w:t xml:space="preserve"> по объектам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80"/>
        <w:gridCol w:w="1196"/>
        <w:gridCol w:w="1135"/>
        <w:gridCol w:w="1133"/>
        <w:gridCol w:w="1418"/>
        <w:gridCol w:w="992"/>
        <w:gridCol w:w="1277"/>
        <w:gridCol w:w="1240"/>
      </w:tblGrid>
      <w:tr w:rsidR="00CC4B34" w:rsidRPr="00FA1B34" w:rsidTr="0043481C">
        <w:trPr>
          <w:trHeight w:val="20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Объект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Горизонт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Участок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Средняя толщина горизонта, м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Площадь нефтеносности категории В+С</w:t>
            </w:r>
            <w:r w:rsidRPr="00FA1B34">
              <w:rPr>
                <w:color w:val="000000"/>
                <w:vertAlign w:val="subscript"/>
              </w:rPr>
              <w:t>1,</w:t>
            </w:r>
            <w:r w:rsidRPr="00FA1B34">
              <w:rPr>
                <w:color w:val="000000"/>
              </w:rPr>
              <w:t xml:space="preserve"> </w:t>
            </w:r>
            <w:proofErr w:type="gramStart"/>
            <w:r w:rsidRPr="00FA1B34">
              <w:rPr>
                <w:color w:val="000000"/>
              </w:rPr>
              <w:t>тыс.м</w:t>
            </w:r>
            <w:proofErr w:type="gramEnd"/>
            <w:r w:rsidRPr="00FA1B34">
              <w:rPr>
                <w:color w:val="000000"/>
                <w:vertAlign w:val="superscript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 xml:space="preserve">Объем горизонта, </w:t>
            </w:r>
            <w:proofErr w:type="gramStart"/>
            <w:r w:rsidRPr="00FA1B34">
              <w:rPr>
                <w:color w:val="000000"/>
              </w:rPr>
              <w:t>тыс.м</w:t>
            </w:r>
            <w:proofErr w:type="gramEnd"/>
            <w:r w:rsidRPr="00FA1B3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A1B34">
              <w:rPr>
                <w:color w:val="000000"/>
              </w:rPr>
              <w:t>Нефтенасыщенный</w:t>
            </w:r>
            <w:proofErr w:type="spellEnd"/>
            <w:r w:rsidRPr="00FA1B34">
              <w:rPr>
                <w:color w:val="000000"/>
              </w:rPr>
              <w:t xml:space="preserve"> объем пород, </w:t>
            </w:r>
            <w:proofErr w:type="gramStart"/>
            <w:r w:rsidRPr="00FA1B34">
              <w:rPr>
                <w:color w:val="000000"/>
              </w:rPr>
              <w:t>тыс.м</w:t>
            </w:r>
            <w:proofErr w:type="gramEnd"/>
            <w:r w:rsidRPr="00FA1B3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 xml:space="preserve">Доля </w:t>
            </w:r>
            <w:proofErr w:type="spellStart"/>
            <w:r w:rsidRPr="00FA1B34">
              <w:rPr>
                <w:color w:val="000000"/>
              </w:rPr>
              <w:t>неколлектора</w:t>
            </w:r>
            <w:proofErr w:type="spellEnd"/>
            <w:r w:rsidRPr="00FA1B34">
              <w:rPr>
                <w:color w:val="000000"/>
              </w:rPr>
              <w:t xml:space="preserve">, доли </w:t>
            </w:r>
            <w:proofErr w:type="spellStart"/>
            <w:r w:rsidRPr="00FA1B34">
              <w:rPr>
                <w:color w:val="000000"/>
              </w:rPr>
              <w:t>ед</w:t>
            </w:r>
            <w:proofErr w:type="spellEnd"/>
          </w:p>
        </w:tc>
      </w:tr>
      <w:tr w:rsidR="00726B79" w:rsidRPr="00FA1B34" w:rsidTr="006D6119">
        <w:trPr>
          <w:trHeight w:val="20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 xml:space="preserve">мел, </w:t>
            </w:r>
            <w:proofErr w:type="spellStart"/>
            <w:r w:rsidRPr="00FA1B34">
              <w:rPr>
                <w:color w:val="000000"/>
              </w:rPr>
              <w:t>альский</w:t>
            </w:r>
            <w:proofErr w:type="spellEnd"/>
            <w:r w:rsidRPr="00FA1B34">
              <w:rPr>
                <w:color w:val="000000"/>
              </w:rPr>
              <w:t xml:space="preserve">, </w:t>
            </w:r>
            <w:r w:rsidRPr="00FA1B34">
              <w:rPr>
                <w:color w:val="000000"/>
              </w:rPr>
              <w:br/>
            </w:r>
            <w:proofErr w:type="spellStart"/>
            <w:r w:rsidRPr="00FA1B34">
              <w:rPr>
                <w:color w:val="000000"/>
              </w:rPr>
              <w:t>апт-</w:t>
            </w:r>
            <w:r w:rsidRPr="00FA1B34">
              <w:rPr>
                <w:color w:val="000000"/>
              </w:rPr>
              <w:lastRenderedPageBreak/>
              <w:t>неокомский</w:t>
            </w:r>
            <w:proofErr w:type="spellEnd"/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lastRenderedPageBreak/>
              <w:t>Основной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6193,0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163742,9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41775,0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0,745</w:t>
            </w:r>
          </w:p>
        </w:tc>
      </w:tr>
      <w:tr w:rsidR="00726B79" w:rsidRPr="00FA1B34" w:rsidTr="006D6119">
        <w:trPr>
          <w:trHeight w:val="20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FA1B34">
              <w:rPr>
                <w:color w:val="000000"/>
              </w:rPr>
              <w:t>Ю</w:t>
            </w:r>
            <w:r w:rsidRPr="00FA1B34">
              <w:rPr>
                <w:color w:val="000000"/>
                <w:lang w:val="en-US"/>
              </w:rPr>
              <w:t>-I-II-III-IV-V-VII</w:t>
            </w: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rPr>
                <w:color w:val="000000"/>
                <w:lang w:val="en-US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122443,4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28339,0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0,769</w:t>
            </w:r>
          </w:p>
        </w:tc>
      </w:tr>
    </w:tbl>
    <w:p w:rsidR="00C954C0" w:rsidRDefault="00C954C0">
      <w:r>
        <w:br w:type="page"/>
      </w:r>
      <w:r>
        <w:lastRenderedPageBreak/>
        <w:t>продолжение таблицы 3.4.2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196"/>
        <w:gridCol w:w="1135"/>
        <w:gridCol w:w="1133"/>
        <w:gridCol w:w="1418"/>
        <w:gridCol w:w="992"/>
        <w:gridCol w:w="1277"/>
        <w:gridCol w:w="1240"/>
      </w:tblGrid>
      <w:tr w:rsidR="00726B79" w:rsidRPr="00FA1B34" w:rsidTr="00C954C0"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III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A1B34">
              <w:rPr>
                <w:color w:val="000000"/>
              </w:rPr>
              <w:t>апт-неокомский</w:t>
            </w:r>
            <w:proofErr w:type="spellEnd"/>
          </w:p>
        </w:tc>
        <w:tc>
          <w:tcPr>
            <w:tcW w:w="593" w:type="pct"/>
            <w:vMerge w:val="restar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Северное крыло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737,0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9035,6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4337,0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0,520</w:t>
            </w:r>
          </w:p>
        </w:tc>
      </w:tr>
      <w:tr w:rsidR="00726B79" w:rsidRPr="00FA1B34" w:rsidTr="00C954C0"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IV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FA1B34">
              <w:rPr>
                <w:color w:val="000000"/>
              </w:rPr>
              <w:t>Ю</w:t>
            </w:r>
            <w:r w:rsidRPr="00FA1B34">
              <w:rPr>
                <w:color w:val="000000"/>
                <w:lang w:val="en-US"/>
              </w:rPr>
              <w:t>-I-II-III-IV-</w:t>
            </w:r>
            <w:r w:rsidRPr="00FA1B34">
              <w:rPr>
                <w:color w:val="000000"/>
                <w:lang w:val="en-US"/>
              </w:rPr>
              <w:br/>
              <w:t>V-VI-VII-</w:t>
            </w:r>
            <w:r w:rsidRPr="00FA1B34">
              <w:rPr>
                <w:color w:val="000000"/>
                <w:lang w:val="en-US"/>
              </w:rPr>
              <w:br/>
              <w:t>VIII-IX-X</w:t>
            </w:r>
          </w:p>
        </w:tc>
        <w:tc>
          <w:tcPr>
            <w:tcW w:w="593" w:type="pct"/>
            <w:vMerge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rPr>
                <w:color w:val="000000"/>
                <w:lang w:val="en-US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18,6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3074,4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57276,1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29862,7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0,479</w:t>
            </w:r>
          </w:p>
        </w:tc>
      </w:tr>
      <w:tr w:rsidR="009576B9" w:rsidRPr="00FA1B34" w:rsidTr="00C954C0">
        <w:trPr>
          <w:trHeight w:val="20"/>
        </w:trPr>
        <w:tc>
          <w:tcPr>
            <w:tcW w:w="616" w:type="pct"/>
            <w:shd w:val="clear" w:color="auto" w:fill="auto"/>
            <w:vAlign w:val="center"/>
          </w:tcPr>
          <w:p w:rsidR="009576B9" w:rsidRPr="00FA1B34" w:rsidRDefault="009576B9" w:rsidP="009576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576B9">
              <w:rPr>
                <w:color w:val="000000"/>
              </w:rPr>
              <w:t>V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9576B9" w:rsidRDefault="009576B9" w:rsidP="009576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Ю-VIII, Ю-IX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Восточный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4346,0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84095,1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21122,0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0,749</w:t>
            </w:r>
          </w:p>
        </w:tc>
      </w:tr>
      <w:tr w:rsidR="009576B9" w:rsidRPr="00FA1B34" w:rsidTr="00C954C0">
        <w:trPr>
          <w:trHeight w:val="20"/>
        </w:trPr>
        <w:tc>
          <w:tcPr>
            <w:tcW w:w="616" w:type="pct"/>
            <w:shd w:val="clear" w:color="auto" w:fill="auto"/>
            <w:vAlign w:val="center"/>
          </w:tcPr>
          <w:p w:rsidR="009576B9" w:rsidRPr="00FA1B34" w:rsidRDefault="009576B9" w:rsidP="009576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576B9">
              <w:rPr>
                <w:color w:val="000000"/>
              </w:rPr>
              <w:t>VI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9576B9" w:rsidRDefault="009576B9" w:rsidP="009576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Ю-VIII, Ю-IX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Карашиганак</w:t>
            </w:r>
            <w:proofErr w:type="spellEnd"/>
          </w:p>
        </w:tc>
        <w:tc>
          <w:tcPr>
            <w:tcW w:w="592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23316,8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2721,0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:rsidR="009576B9" w:rsidRDefault="009576B9" w:rsidP="0095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0,883</w:t>
            </w:r>
          </w:p>
        </w:tc>
      </w:tr>
    </w:tbl>
    <w:p w:rsidR="00E41747" w:rsidRPr="00AA2358" w:rsidRDefault="00E41747" w:rsidP="00FA1B34">
      <w:pPr>
        <w:jc w:val="both"/>
        <w:rPr>
          <w:color w:val="000000"/>
          <w:sz w:val="28"/>
        </w:rPr>
      </w:pPr>
    </w:p>
    <w:p w:rsidR="00E41747" w:rsidRPr="00B11DAD" w:rsidRDefault="00E41747" w:rsidP="00B11D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B11DAD">
        <w:rPr>
          <w:color w:val="000000"/>
          <w:sz w:val="24"/>
          <w:szCs w:val="24"/>
        </w:rPr>
        <w:t xml:space="preserve">d – линейный размер хаотического изменения коллекторских свойств пластов – размер отдельных зон, которыми моделируется хаотическая зональная неоднородность пластов. Можно считать, что в пределах одного </w:t>
      </w:r>
      <w:proofErr w:type="spellStart"/>
      <w:r w:rsidRPr="00B11DAD">
        <w:rPr>
          <w:color w:val="000000"/>
          <w:sz w:val="24"/>
          <w:szCs w:val="24"/>
        </w:rPr>
        <w:t>пропластка</w:t>
      </w:r>
      <w:proofErr w:type="spellEnd"/>
      <w:r w:rsidRPr="00B11DAD">
        <w:rPr>
          <w:color w:val="000000"/>
          <w:sz w:val="24"/>
          <w:szCs w:val="24"/>
        </w:rPr>
        <w:t xml:space="preserve"> изменение коллекторских свойств незначительно, и для определения линейных размеров зон неоднородности можно использовать осредненные значения длин однородных </w:t>
      </w:r>
      <w:proofErr w:type="spellStart"/>
      <w:r w:rsidRPr="00B11DAD">
        <w:rPr>
          <w:color w:val="000000"/>
          <w:sz w:val="24"/>
          <w:szCs w:val="24"/>
        </w:rPr>
        <w:t>пропластков</w:t>
      </w:r>
      <w:proofErr w:type="spellEnd"/>
      <w:r w:rsidRPr="00B11DAD">
        <w:rPr>
          <w:color w:val="000000"/>
          <w:sz w:val="24"/>
          <w:szCs w:val="24"/>
        </w:rPr>
        <w:t xml:space="preserve"> по продольному и поперечному сечению разреза. В связи с этим, для определения размеров зон неоднородности для каждого </w:t>
      </w:r>
      <w:proofErr w:type="spellStart"/>
      <w:r w:rsidRPr="00B11DAD">
        <w:rPr>
          <w:color w:val="000000"/>
          <w:sz w:val="24"/>
          <w:szCs w:val="24"/>
        </w:rPr>
        <w:t>подсчетного</w:t>
      </w:r>
      <w:proofErr w:type="spellEnd"/>
      <w:r w:rsidRPr="00B11DAD">
        <w:rPr>
          <w:color w:val="000000"/>
          <w:sz w:val="24"/>
          <w:szCs w:val="24"/>
        </w:rPr>
        <w:t xml:space="preserve"> объекта использованы осредненные длины проекции коллекторов данного продуктивного горизонта;</w:t>
      </w:r>
    </w:p>
    <w:p w:rsidR="00E41747" w:rsidRPr="00B11DAD" w:rsidRDefault="00E41747" w:rsidP="00B11D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B11DAD">
        <w:rPr>
          <w:color w:val="000000"/>
          <w:sz w:val="24"/>
          <w:szCs w:val="24"/>
        </w:rPr>
        <w:t>S</w:t>
      </w:r>
      <w:r w:rsidRPr="00B11DAD">
        <w:rPr>
          <w:color w:val="000000"/>
          <w:sz w:val="24"/>
          <w:szCs w:val="24"/>
          <w:vertAlign w:val="superscript"/>
          <w:lang w:val="en-US"/>
        </w:rPr>
        <w:t>I</w:t>
      </w:r>
      <w:r w:rsidRPr="00B11DAD">
        <w:rPr>
          <w:color w:val="000000"/>
          <w:sz w:val="24"/>
          <w:szCs w:val="24"/>
        </w:rPr>
        <w:t xml:space="preserve"> – площадь на одну скважину, км</w:t>
      </w:r>
      <w:r w:rsidRPr="00B11DAD">
        <w:rPr>
          <w:color w:val="000000"/>
          <w:sz w:val="24"/>
          <w:szCs w:val="24"/>
          <w:vertAlign w:val="superscript"/>
        </w:rPr>
        <w:t>2</w:t>
      </w:r>
      <w:r w:rsidRPr="00B11DAD">
        <w:rPr>
          <w:color w:val="000000"/>
          <w:sz w:val="24"/>
          <w:szCs w:val="24"/>
        </w:rPr>
        <w:t>/</w:t>
      </w:r>
      <w:proofErr w:type="spellStart"/>
      <w:r w:rsidRPr="00B11DAD">
        <w:rPr>
          <w:color w:val="000000"/>
          <w:sz w:val="24"/>
          <w:szCs w:val="24"/>
        </w:rPr>
        <w:t>скв</w:t>
      </w:r>
      <w:proofErr w:type="spellEnd"/>
      <w:r w:rsidRPr="00B11DAD">
        <w:rPr>
          <w:color w:val="000000"/>
          <w:sz w:val="24"/>
          <w:szCs w:val="24"/>
        </w:rPr>
        <w:t>.</w:t>
      </w:r>
    </w:p>
    <w:p w:rsidR="00E41747" w:rsidRPr="00B11DAD" w:rsidRDefault="00E41747" w:rsidP="00B11D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B11DAD">
        <w:rPr>
          <w:color w:val="000000"/>
          <w:sz w:val="24"/>
          <w:szCs w:val="24"/>
        </w:rPr>
        <w:t xml:space="preserve">Коэффициент </w:t>
      </w:r>
      <w:proofErr w:type="spellStart"/>
      <w:r w:rsidRPr="00B11DAD">
        <w:rPr>
          <w:color w:val="000000"/>
          <w:sz w:val="24"/>
          <w:szCs w:val="24"/>
        </w:rPr>
        <w:t>заводнения</w:t>
      </w:r>
      <w:proofErr w:type="spellEnd"/>
      <w:r w:rsidRPr="00B11DAD">
        <w:rPr>
          <w:color w:val="000000"/>
          <w:sz w:val="24"/>
          <w:szCs w:val="24"/>
        </w:rPr>
        <w:t xml:space="preserve"> (К</w:t>
      </w:r>
      <w:r w:rsidRPr="00B11DAD">
        <w:rPr>
          <w:color w:val="000000"/>
          <w:sz w:val="24"/>
          <w:szCs w:val="24"/>
          <w:vertAlign w:val="subscript"/>
        </w:rPr>
        <w:t>3</w:t>
      </w:r>
      <w:r w:rsidRPr="00B11DAD">
        <w:rPr>
          <w:color w:val="000000"/>
          <w:sz w:val="24"/>
          <w:szCs w:val="24"/>
        </w:rPr>
        <w:t>) зависит от зональной и послойной неоднородности пластов по проницаемости, соотношения вязкости нефти и воды, системы размещения скважин, а также предельной обводненности добываемой продукции.</w:t>
      </w:r>
    </w:p>
    <w:p w:rsidR="00E41747" w:rsidRPr="00B11DAD" w:rsidRDefault="00E41747" w:rsidP="00B11D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47"/>
        <w:gridCol w:w="2924"/>
      </w:tblGrid>
      <w:tr w:rsidR="00E41747" w:rsidRPr="00B11DAD" w:rsidTr="0018781C">
        <w:trPr>
          <w:trHeight w:val="163"/>
        </w:trPr>
        <w:tc>
          <w:tcPr>
            <w:tcW w:w="4047" w:type="dxa"/>
            <w:shd w:val="clear" w:color="auto" w:fill="auto"/>
          </w:tcPr>
          <w:p w:rsidR="00E41747" w:rsidRPr="00B11DAD" w:rsidRDefault="0006721A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</w:t>
            </w:r>
            <w:r w:rsidR="00E41747" w:rsidRPr="00B11DA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1747" w:rsidRPr="00B11DAD">
              <w:rPr>
                <w:color w:val="000000"/>
                <w:sz w:val="24"/>
                <w:szCs w:val="24"/>
              </w:rPr>
              <w:t>К</w:t>
            </w:r>
            <w:r w:rsidR="00E41747" w:rsidRPr="00B11DAD">
              <w:rPr>
                <w:color w:val="000000"/>
                <w:sz w:val="24"/>
                <w:szCs w:val="24"/>
                <w:vertAlign w:val="subscript"/>
              </w:rPr>
              <w:t>з</w:t>
            </w:r>
            <w:proofErr w:type="spellEnd"/>
            <w:r w:rsidR="00E41747" w:rsidRPr="00B11DAD">
              <w:rPr>
                <w:color w:val="000000"/>
                <w:sz w:val="24"/>
                <w:szCs w:val="24"/>
              </w:rPr>
              <w:t xml:space="preserve"> = </w:t>
            </w:r>
            <w:proofErr w:type="spellStart"/>
            <w:r w:rsidR="00E41747" w:rsidRPr="00B11DAD">
              <w:rPr>
                <w:color w:val="000000"/>
                <w:sz w:val="24"/>
                <w:szCs w:val="24"/>
              </w:rPr>
              <w:t>К</w:t>
            </w:r>
            <w:r w:rsidR="00E41747" w:rsidRPr="00B11DAD">
              <w:rPr>
                <w:color w:val="000000"/>
                <w:sz w:val="24"/>
                <w:szCs w:val="24"/>
                <w:vertAlign w:val="subscript"/>
              </w:rPr>
              <w:t>зн</w:t>
            </w:r>
            <w:proofErr w:type="spellEnd"/>
            <w:r w:rsidR="00E41747" w:rsidRPr="00B11DAD">
              <w:rPr>
                <w:color w:val="000000"/>
                <w:sz w:val="24"/>
                <w:szCs w:val="24"/>
              </w:rPr>
              <w:t xml:space="preserve"> + (</w:t>
            </w:r>
            <w:proofErr w:type="spellStart"/>
            <w:r w:rsidR="00E41747" w:rsidRPr="00B11DAD">
              <w:rPr>
                <w:color w:val="000000"/>
                <w:sz w:val="24"/>
                <w:szCs w:val="24"/>
              </w:rPr>
              <w:t>К</w:t>
            </w:r>
            <w:r w:rsidR="00E41747" w:rsidRPr="00B11DAD">
              <w:rPr>
                <w:color w:val="000000"/>
                <w:sz w:val="24"/>
                <w:szCs w:val="24"/>
                <w:vertAlign w:val="subscript"/>
              </w:rPr>
              <w:t>зк</w:t>
            </w:r>
            <w:proofErr w:type="spellEnd"/>
            <w:r w:rsidR="00E41747" w:rsidRPr="00B11DAD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E41747" w:rsidRPr="00B11DAD">
              <w:rPr>
                <w:color w:val="000000"/>
                <w:sz w:val="24"/>
                <w:szCs w:val="24"/>
              </w:rPr>
              <w:t>К</w:t>
            </w:r>
            <w:r w:rsidR="00E41747" w:rsidRPr="00B11DAD">
              <w:rPr>
                <w:color w:val="000000"/>
                <w:sz w:val="24"/>
                <w:szCs w:val="24"/>
                <w:vertAlign w:val="subscript"/>
              </w:rPr>
              <w:t>зн</w:t>
            </w:r>
            <w:proofErr w:type="spellEnd"/>
            <w:r w:rsidR="00E41747" w:rsidRPr="00B11DAD">
              <w:rPr>
                <w:color w:val="000000"/>
                <w:sz w:val="24"/>
                <w:szCs w:val="24"/>
              </w:rPr>
              <w:t>)</w:t>
            </w:r>
            <w:r w:rsidR="00E41747" w:rsidRPr="00B11DAD">
              <w:rPr>
                <w:color w:val="000000"/>
                <w:sz w:val="24"/>
                <w:szCs w:val="24"/>
              </w:rPr>
              <w:sym w:font="Symbol" w:char="F0D7"/>
            </w:r>
            <w:r w:rsidR="00E41747" w:rsidRPr="00B11DAD">
              <w:rPr>
                <w:color w:val="000000"/>
                <w:sz w:val="24"/>
                <w:szCs w:val="24"/>
              </w:rPr>
              <w:t xml:space="preserve">А; </w:t>
            </w:r>
            <w:r w:rsidR="00E41747" w:rsidRPr="00B11DAD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BA69E7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.7)</w:t>
            </w:r>
          </w:p>
        </w:tc>
      </w:tr>
      <w:tr w:rsidR="00E41747" w:rsidRPr="00B11DAD" w:rsidTr="0018781C">
        <w:trPr>
          <w:trHeight w:val="163"/>
        </w:trPr>
        <w:tc>
          <w:tcPr>
            <w:tcW w:w="4047" w:type="dxa"/>
            <w:shd w:val="clear" w:color="auto" w:fill="auto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11DAD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58298149" wp14:editId="4B51C4F4">
                  <wp:extent cx="1257300" cy="457200"/>
                  <wp:effectExtent l="0" t="0" r="0" b="0"/>
                  <wp:docPr id="25620" name="Рисунок 25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1DAD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BA69E7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.8)</w:t>
            </w:r>
          </w:p>
        </w:tc>
      </w:tr>
    </w:tbl>
    <w:p w:rsidR="00E41747" w:rsidRPr="00B11DAD" w:rsidRDefault="00E41747" w:rsidP="00B11DAD">
      <w:pPr>
        <w:spacing w:line="360" w:lineRule="auto"/>
        <w:rPr>
          <w:b/>
          <w:sz w:val="24"/>
          <w:szCs w:val="24"/>
        </w:rPr>
      </w:pPr>
      <w:r w:rsidRPr="00B11DAD">
        <w:rPr>
          <w:color w:val="000000"/>
          <w:sz w:val="24"/>
          <w:szCs w:val="24"/>
        </w:rPr>
        <w:t xml:space="preserve">где: </w:t>
      </w:r>
      <w:r w:rsidRPr="00B11DAD">
        <w:rPr>
          <w:color w:val="000000"/>
          <w:sz w:val="24"/>
          <w:szCs w:val="24"/>
          <w:lang w:val="en-US"/>
        </w:rPr>
        <w:t>K</w:t>
      </w:r>
      <w:proofErr w:type="spellStart"/>
      <w:r w:rsidRPr="00B11DAD">
        <w:rPr>
          <w:color w:val="000000"/>
          <w:sz w:val="24"/>
          <w:szCs w:val="24"/>
          <w:vertAlign w:val="subscript"/>
        </w:rPr>
        <w:t>зн</w:t>
      </w:r>
      <w:proofErr w:type="spellEnd"/>
      <w:r w:rsidRPr="00B11DAD">
        <w:rPr>
          <w:color w:val="000000"/>
          <w:sz w:val="24"/>
          <w:szCs w:val="24"/>
        </w:rPr>
        <w:t xml:space="preserve"> – доля отбора подвижных запасов нефти за</w:t>
      </w:r>
    </w:p>
    <w:p w:rsidR="00E41747" w:rsidRPr="00B11DAD" w:rsidRDefault="00E41747" w:rsidP="0006721A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B11DAD">
        <w:rPr>
          <w:color w:val="000000"/>
          <w:sz w:val="24"/>
          <w:szCs w:val="24"/>
        </w:rPr>
        <w:t xml:space="preserve">безводный период разработки, условно безводным можно считать период эксплуатации скважины с обводненностью менее 5%; </w:t>
      </w:r>
      <w:r w:rsidRPr="00B11DAD">
        <w:rPr>
          <w:color w:val="000000"/>
          <w:sz w:val="24"/>
          <w:szCs w:val="24"/>
          <w:lang w:val="en-US"/>
        </w:rPr>
        <w:t>K</w:t>
      </w:r>
      <w:proofErr w:type="spellStart"/>
      <w:r w:rsidRPr="00B11DAD">
        <w:rPr>
          <w:color w:val="000000"/>
          <w:sz w:val="24"/>
          <w:szCs w:val="24"/>
          <w:vertAlign w:val="subscript"/>
        </w:rPr>
        <w:t>зк</w:t>
      </w:r>
      <w:proofErr w:type="spellEnd"/>
      <w:r w:rsidRPr="00B11DAD">
        <w:rPr>
          <w:color w:val="000000"/>
          <w:sz w:val="24"/>
          <w:szCs w:val="24"/>
        </w:rPr>
        <w:t xml:space="preserve"> – потенциально возможная конечная доля отбора подвижных запасов нефти. Данные коэффициенты учитывают неравномерность вытеснения нефти водой в добывающие скважины; </w:t>
      </w:r>
      <w:r w:rsidRPr="00B11DAD">
        <w:rPr>
          <w:noProof/>
          <w:color w:val="000000"/>
          <w:sz w:val="24"/>
          <w:szCs w:val="24"/>
        </w:rPr>
        <w:drawing>
          <wp:inline distT="0" distB="0" distL="0" distR="0" wp14:anchorId="1AFDB303" wp14:editId="11C942EC">
            <wp:extent cx="180975" cy="200025"/>
            <wp:effectExtent l="0" t="0" r="9525" b="9525"/>
            <wp:docPr id="25627" name="Рисунок 25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DAD">
        <w:rPr>
          <w:color w:val="000000"/>
          <w:sz w:val="24"/>
          <w:szCs w:val="24"/>
        </w:rPr>
        <w:t xml:space="preserve"> – коэффициент, учитывающий различие физических свойств нефти и вытесняющей воды в пластовых условиях.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8"/>
        <w:gridCol w:w="2918"/>
      </w:tblGrid>
      <w:tr w:rsidR="00E41747" w:rsidRPr="00B11DAD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color w:val="000000"/>
                <w:sz w:val="24"/>
                <w:szCs w:val="24"/>
              </w:rPr>
              <w:tab/>
            </w:r>
            <w:r w:rsidRPr="00B11DAD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7119207D" wp14:editId="6C00438F">
                  <wp:extent cx="1104900" cy="419100"/>
                  <wp:effectExtent l="0" t="0" r="0" b="0"/>
                  <wp:docPr id="25628" name="Рисунок 25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1DAD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BA69E7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.9)</w:t>
            </w:r>
          </w:p>
        </w:tc>
      </w:tr>
      <w:tr w:rsidR="00E41747" w:rsidRPr="00B11DAD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11DAD" w:rsidRDefault="008631C8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зк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0,95+0,25·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ν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="00E41747" w:rsidRPr="00B11DAD">
              <w:rPr>
                <w:color w:val="000000"/>
                <w:sz w:val="24"/>
                <w:szCs w:val="24"/>
              </w:rPr>
              <w:t>;</w:t>
            </w:r>
            <w:r w:rsidR="00E41747" w:rsidRPr="00B11DAD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06721A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.10)</w:t>
            </w:r>
          </w:p>
        </w:tc>
      </w:tr>
      <w:tr w:rsidR="00E41747" w:rsidRPr="00B11DAD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11DAD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612CB15E" wp14:editId="0A9D5D0F">
                  <wp:extent cx="1190625" cy="428625"/>
                  <wp:effectExtent l="0" t="0" r="9525" b="9525"/>
                  <wp:docPr id="25629" name="Рисунок 25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1DAD">
              <w:rPr>
                <w:color w:val="000000"/>
                <w:sz w:val="24"/>
                <w:szCs w:val="24"/>
              </w:rPr>
              <w:t xml:space="preserve">;   </w:t>
            </w:r>
            <w:r w:rsidRPr="00B11DAD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06721A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.11)</w:t>
            </w:r>
          </w:p>
        </w:tc>
      </w:tr>
    </w:tbl>
    <w:p w:rsidR="00E41747" w:rsidRPr="00B11DAD" w:rsidRDefault="00E41747" w:rsidP="00B11DAD">
      <w:pPr>
        <w:overflowPunct w:val="0"/>
        <w:spacing w:line="360" w:lineRule="auto"/>
        <w:ind w:firstLine="720"/>
        <w:jc w:val="both"/>
        <w:textAlignment w:val="baseline"/>
        <w:rPr>
          <w:sz w:val="24"/>
          <w:szCs w:val="24"/>
        </w:rPr>
      </w:pP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 xml:space="preserve">где: </w:t>
      </w:r>
      <w:r w:rsidRPr="00B11DAD">
        <w:rPr>
          <w:noProof/>
          <w:position w:val="-10"/>
          <w:sz w:val="24"/>
          <w:szCs w:val="24"/>
        </w:rPr>
        <w:drawing>
          <wp:inline distT="0" distB="0" distL="0" distR="0" wp14:anchorId="5207D03B" wp14:editId="10CC41BA">
            <wp:extent cx="180975" cy="200025"/>
            <wp:effectExtent l="0" t="0" r="9525" b="9525"/>
            <wp:docPr id="25630" name="Рисунок 25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DAD">
        <w:rPr>
          <w:sz w:val="24"/>
          <w:szCs w:val="24"/>
        </w:rPr>
        <w:t xml:space="preserve"> – соотношение подвижностей вытесняющего агента и нефти в пластовых условиях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*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4"/>
            <w:szCs w:val="24"/>
          </w:rPr>
          <m:t>·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1,5</m:t>
            </m:r>
          </m:sup>
        </m:sSubSup>
        <m:r>
          <w:rPr>
            <w:rFonts w:ascii="Cambria Math" w:hAnsi="Cambria Math"/>
            <w:sz w:val="24"/>
            <w:szCs w:val="24"/>
          </w:rPr>
          <m:t>)</m:t>
        </m:r>
      </m:oMath>
      <w:r w:rsidRPr="00B11DAD">
        <w:rPr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ν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B11DAD">
        <w:rPr>
          <w:sz w:val="24"/>
          <w:szCs w:val="24"/>
        </w:rPr>
        <w:t xml:space="preserve"> – расчетная послойная неоднородность пластов, данный параметр является комплексным, объединяющим различные виды неоднородности, действующие взаимно, независимо и одновременно.</w:t>
      </w:r>
    </w:p>
    <w:p w:rsidR="00E41747" w:rsidRPr="00B11DAD" w:rsidRDefault="008631C8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E41747" w:rsidRPr="00B11DAD">
        <w:rPr>
          <w:sz w:val="24"/>
          <w:szCs w:val="24"/>
        </w:rPr>
        <w:t xml:space="preserve"> – действительная послойная неоднородность. 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>Для расчета послойной неоднородности определяется проницаемость и квадрат проницаемости для каждого слоя в каждой скважине. Проводится осреднение полученных проницаемостей и их квадратичных значений для каждой скважины по горизонту в целом: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8"/>
        <w:gridCol w:w="2918"/>
      </w:tblGrid>
      <w:tr w:rsidR="00E41747" w:rsidRPr="00B11DAD" w:rsidTr="0018781C">
        <w:trPr>
          <w:trHeight w:val="167"/>
        </w:trPr>
        <w:tc>
          <w:tcPr>
            <w:tcW w:w="4038" w:type="dxa"/>
            <w:shd w:val="clear" w:color="auto" w:fill="auto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11DAD">
              <w:rPr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7022B54" wp14:editId="7944F62D">
                  <wp:simplePos x="0" y="0"/>
                  <wp:positionH relativeFrom="column">
                    <wp:posOffset>1475740</wp:posOffset>
                  </wp:positionH>
                  <wp:positionV relativeFrom="paragraph">
                    <wp:posOffset>113665</wp:posOffset>
                  </wp:positionV>
                  <wp:extent cx="962660" cy="428625"/>
                  <wp:effectExtent l="0" t="0" r="8890" b="9525"/>
                  <wp:wrapNone/>
                  <wp:docPr id="25631" name="Рисунок 25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6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1DAD">
              <w:rPr>
                <w:color w:val="000000"/>
                <w:sz w:val="24"/>
                <w:szCs w:val="24"/>
              </w:rPr>
              <w:tab/>
            </w:r>
          </w:p>
          <w:p w:rsidR="00E41747" w:rsidRPr="00B11DAD" w:rsidRDefault="00E41747" w:rsidP="00B11DAD">
            <w:pPr>
              <w:overflowPunct w:val="0"/>
              <w:spacing w:line="36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>(3.</w:t>
            </w:r>
            <w:r w:rsidR="0006721A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.12)</w:t>
            </w:r>
          </w:p>
        </w:tc>
      </w:tr>
    </w:tbl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>Затем осуществляется переход к неограниченно большой совокупности: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7"/>
        <w:gridCol w:w="2874"/>
      </w:tblGrid>
      <w:tr w:rsidR="00E41747" w:rsidRPr="00B11DAD" w:rsidTr="0018781C">
        <w:trPr>
          <w:trHeight w:val="182"/>
        </w:trPr>
        <w:tc>
          <w:tcPr>
            <w:tcW w:w="3977" w:type="dxa"/>
            <w:shd w:val="clear" w:color="auto" w:fill="auto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11DAD">
              <w:rPr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4656" behindDoc="0" locked="0" layoutInCell="1" allowOverlap="1" wp14:anchorId="65A5132F" wp14:editId="08DDCF37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67945</wp:posOffset>
                  </wp:positionV>
                  <wp:extent cx="1210945" cy="619125"/>
                  <wp:effectExtent l="0" t="0" r="8255" b="9525"/>
                  <wp:wrapNone/>
                  <wp:docPr id="25632" name="Рисунок 256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1DAD">
              <w:rPr>
                <w:color w:val="000000"/>
                <w:sz w:val="24"/>
                <w:szCs w:val="24"/>
              </w:rPr>
              <w:tab/>
            </w:r>
          </w:p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</w:p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:rsidR="00E41747" w:rsidRPr="00B11DAD" w:rsidRDefault="00E41747" w:rsidP="00B11DAD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11DAD">
              <w:rPr>
                <w:sz w:val="24"/>
                <w:szCs w:val="24"/>
              </w:rPr>
              <w:t xml:space="preserve"> (3.</w:t>
            </w:r>
            <w:r w:rsidR="0006721A">
              <w:rPr>
                <w:sz w:val="24"/>
                <w:szCs w:val="24"/>
              </w:rPr>
              <w:t>4</w:t>
            </w:r>
            <w:r w:rsidRPr="00B11DAD">
              <w:rPr>
                <w:sz w:val="24"/>
                <w:szCs w:val="24"/>
              </w:rPr>
              <w:t>.13)</w:t>
            </w:r>
          </w:p>
        </w:tc>
      </w:tr>
    </w:tbl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>Аналогичным образом определяется зональная неоднородность (V</w:t>
      </w:r>
      <w:r w:rsidRPr="00B11DAD">
        <w:rPr>
          <w:sz w:val="24"/>
          <w:szCs w:val="24"/>
          <w:vertAlign w:val="superscript"/>
        </w:rPr>
        <w:t>2</w:t>
      </w:r>
      <w:r w:rsidRPr="00B11DAD">
        <w:rPr>
          <w:sz w:val="24"/>
          <w:szCs w:val="24"/>
          <w:vertAlign w:val="subscript"/>
        </w:rPr>
        <w:t>зон</w:t>
      </w:r>
      <w:r w:rsidRPr="00B11DAD">
        <w:rPr>
          <w:sz w:val="24"/>
          <w:szCs w:val="24"/>
        </w:rPr>
        <w:t>), только вместо слоев используются скважины.</w:t>
      </w:r>
    </w:p>
    <w:p w:rsidR="00E41747" w:rsidRPr="00B11DAD" w:rsidRDefault="008631C8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E41747" w:rsidRPr="00B11DAD">
        <w:rPr>
          <w:sz w:val="24"/>
          <w:szCs w:val="24"/>
        </w:rPr>
        <w:t xml:space="preserve"> – геометрическая неоднородность (неравномерность) вытеснения нефти водой в однородном слое, обусловленная точечностью и геометрией точек расположения источников и стоков, а также различием подвижностей вытесняющей воды и нефти: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40631BFD" wp14:editId="35359CCA">
            <wp:simplePos x="0" y="0"/>
            <wp:positionH relativeFrom="page">
              <wp:align>center</wp:align>
            </wp:positionH>
            <wp:positionV relativeFrom="paragraph">
              <wp:posOffset>113030</wp:posOffset>
            </wp:positionV>
            <wp:extent cx="1632585" cy="409575"/>
            <wp:effectExtent l="0" t="0" r="5715" b="9525"/>
            <wp:wrapNone/>
            <wp:docPr id="25633" name="Рисунок 25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1DAD">
        <w:rPr>
          <w:sz w:val="24"/>
          <w:szCs w:val="24"/>
        </w:rPr>
        <w:t xml:space="preserve">                            </w:t>
      </w:r>
    </w:p>
    <w:p w:rsidR="00E41747" w:rsidRPr="00B11DAD" w:rsidRDefault="00E41747" w:rsidP="00B11DAD">
      <w:pPr>
        <w:tabs>
          <w:tab w:val="left" w:pos="6749"/>
        </w:tabs>
        <w:overflowPunct w:val="0"/>
        <w:spacing w:line="360" w:lineRule="auto"/>
        <w:jc w:val="right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>(3.</w:t>
      </w:r>
      <w:r w:rsidR="0006721A">
        <w:rPr>
          <w:sz w:val="24"/>
          <w:szCs w:val="24"/>
        </w:rPr>
        <w:t>4</w:t>
      </w:r>
      <w:r w:rsidRPr="00B11DAD">
        <w:rPr>
          <w:sz w:val="24"/>
          <w:szCs w:val="24"/>
        </w:rPr>
        <w:t xml:space="preserve">.14)                       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B11DAD" w:rsidRDefault="008631C8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E41747" w:rsidRPr="00B11DAD">
        <w:rPr>
          <w:sz w:val="24"/>
          <w:szCs w:val="24"/>
        </w:rPr>
        <w:t xml:space="preserve"> – расчетная зональная неоднородность, характеризующая неравномерность стягивания фронтов вытесняющей воды с разных сторон от различных нагнетательных скважин к стягивающей добывающей скважине:</w:t>
      </w:r>
    </w:p>
    <w:p w:rsidR="00E41747" w:rsidRPr="00B11DAD" w:rsidRDefault="00E41747" w:rsidP="00B11DAD">
      <w:pPr>
        <w:tabs>
          <w:tab w:val="left" w:pos="6687"/>
        </w:tabs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 xml:space="preserve"> </w:t>
      </w:r>
      <w:r w:rsidRPr="00B11DAD">
        <w:rPr>
          <w:i/>
          <w:sz w:val="24"/>
          <w:szCs w:val="24"/>
        </w:rPr>
        <w:tab/>
      </w:r>
      <w:r w:rsidRPr="00B11DAD">
        <w:rPr>
          <w:sz w:val="24"/>
          <w:szCs w:val="24"/>
        </w:rPr>
        <w:t xml:space="preserve">                               </w:t>
      </w:r>
      <w:r w:rsidR="0018781C" w:rsidRPr="00B11DAD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37C5D45" wp14:editId="6512F7F5">
            <wp:simplePos x="0" y="0"/>
            <wp:positionH relativeFrom="margin">
              <wp:posOffset>2609850</wp:posOffset>
            </wp:positionH>
            <wp:positionV relativeFrom="paragraph">
              <wp:posOffset>-51435</wp:posOffset>
            </wp:positionV>
            <wp:extent cx="718820" cy="476250"/>
            <wp:effectExtent l="0" t="0" r="5080" b="0"/>
            <wp:wrapNone/>
            <wp:docPr id="25634" name="Рисунок 25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1DAD">
        <w:rPr>
          <w:sz w:val="24"/>
          <w:szCs w:val="24"/>
        </w:rPr>
        <w:t>(3.</w:t>
      </w:r>
      <w:r w:rsidR="0006721A">
        <w:rPr>
          <w:sz w:val="24"/>
          <w:szCs w:val="24"/>
        </w:rPr>
        <w:t>4</w:t>
      </w:r>
      <w:r w:rsidRPr="00B11DAD">
        <w:rPr>
          <w:sz w:val="24"/>
          <w:szCs w:val="24"/>
        </w:rPr>
        <w:t>.15)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 xml:space="preserve"> Таким образом, расчетная послойная неоднородность определяется по следующей формуле: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B11DAD" w:rsidRDefault="00242D50" w:rsidP="00B11DAD">
      <w:pPr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11DAD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3872" behindDoc="0" locked="0" layoutInCell="1" allowOverlap="1" wp14:anchorId="69111485" wp14:editId="4F4D18E5">
            <wp:simplePos x="0" y="0"/>
            <wp:positionH relativeFrom="page">
              <wp:posOffset>2377302</wp:posOffset>
            </wp:positionH>
            <wp:positionV relativeFrom="paragraph">
              <wp:posOffset>-304</wp:posOffset>
            </wp:positionV>
            <wp:extent cx="3105150" cy="582930"/>
            <wp:effectExtent l="0" t="0" r="0" b="7620"/>
            <wp:wrapNone/>
            <wp:docPr id="25635" name="Рисунок 25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747" w:rsidRPr="00B11DAD">
        <w:rPr>
          <w:bCs/>
          <w:iCs/>
          <w:sz w:val="24"/>
          <w:szCs w:val="24"/>
        </w:rPr>
        <w:t>(3.</w:t>
      </w:r>
      <w:r w:rsidR="0006721A">
        <w:rPr>
          <w:bCs/>
          <w:iCs/>
          <w:sz w:val="24"/>
          <w:szCs w:val="24"/>
        </w:rPr>
        <w:t>4</w:t>
      </w:r>
      <w:r w:rsidR="00E41747" w:rsidRPr="00B11DAD">
        <w:rPr>
          <w:bCs/>
          <w:iCs/>
          <w:sz w:val="24"/>
          <w:szCs w:val="24"/>
        </w:rPr>
        <w:t>.16)</w:t>
      </w:r>
    </w:p>
    <w:p w:rsidR="00E41747" w:rsidRPr="00B11DAD" w:rsidRDefault="00E41747" w:rsidP="00B11DAD">
      <w:pPr>
        <w:tabs>
          <w:tab w:val="left" w:pos="6824"/>
        </w:tabs>
        <w:overflowPunct w:val="0"/>
        <w:spacing w:line="360" w:lineRule="auto"/>
        <w:ind w:firstLine="709"/>
        <w:jc w:val="both"/>
        <w:textAlignment w:val="baseline"/>
        <w:rPr>
          <w:bCs/>
          <w:iCs/>
          <w:sz w:val="24"/>
          <w:szCs w:val="24"/>
        </w:rPr>
      </w:pPr>
      <w:r w:rsidRPr="00B11DAD">
        <w:rPr>
          <w:bCs/>
          <w:iCs/>
          <w:sz w:val="24"/>
          <w:szCs w:val="24"/>
        </w:rPr>
        <w:tab/>
        <w:t xml:space="preserve">                   </w:t>
      </w:r>
    </w:p>
    <w:p w:rsidR="00E41747" w:rsidRPr="00B11DAD" w:rsidRDefault="00E41747" w:rsidP="00B11DAD">
      <w:pPr>
        <w:tabs>
          <w:tab w:val="left" w:pos="6824"/>
        </w:tabs>
        <w:overflowPunct w:val="0"/>
        <w:spacing w:line="360" w:lineRule="auto"/>
        <w:ind w:firstLine="709"/>
        <w:jc w:val="both"/>
        <w:textAlignment w:val="baseline"/>
        <w:rPr>
          <w:bCs/>
          <w:iCs/>
          <w:sz w:val="24"/>
          <w:szCs w:val="24"/>
        </w:rPr>
      </w:pPr>
    </w:p>
    <w:p w:rsidR="00E41747" w:rsidRPr="00B11DAD" w:rsidRDefault="000F6F03" w:rsidP="00B11DAD">
      <w:pPr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11DAD">
        <w:rPr>
          <w:noProof/>
          <w:position w:val="-28"/>
          <w:sz w:val="24"/>
          <w:szCs w:val="24"/>
        </w:rPr>
        <w:drawing>
          <wp:inline distT="0" distB="0" distL="0" distR="0" wp14:anchorId="1254ABD7" wp14:editId="555102F0">
            <wp:extent cx="781050" cy="419100"/>
            <wp:effectExtent l="0" t="0" r="0" b="0"/>
            <wp:docPr id="25636" name="Рисунок 25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747" w:rsidRPr="00B11DAD">
        <w:rPr>
          <w:noProof/>
          <w:position w:val="-28"/>
          <w:sz w:val="24"/>
          <w:szCs w:val="24"/>
        </w:rPr>
        <w:t xml:space="preserve">                                                </w:t>
      </w:r>
      <w:r w:rsidR="00E41747" w:rsidRPr="00B11DAD">
        <w:rPr>
          <w:sz w:val="24"/>
          <w:szCs w:val="24"/>
        </w:rPr>
        <w:t>(3.</w:t>
      </w:r>
      <w:r w:rsidR="0006721A">
        <w:rPr>
          <w:sz w:val="24"/>
          <w:szCs w:val="24"/>
        </w:rPr>
        <w:t>4</w:t>
      </w:r>
      <w:r w:rsidR="00E41747" w:rsidRPr="00B11DAD">
        <w:rPr>
          <w:sz w:val="24"/>
          <w:szCs w:val="24"/>
        </w:rPr>
        <w:t>.17)</w:t>
      </w:r>
      <w:r w:rsidR="00E41747" w:rsidRPr="00B11DAD">
        <w:rPr>
          <w:noProof/>
          <w:position w:val="-28"/>
          <w:sz w:val="24"/>
          <w:szCs w:val="24"/>
        </w:rPr>
        <w:t xml:space="preserve">             </w:t>
      </w:r>
      <w:r w:rsidR="00E41747" w:rsidRPr="00B11DAD">
        <w:rPr>
          <w:sz w:val="24"/>
          <w:szCs w:val="24"/>
        </w:rPr>
        <w:t xml:space="preserve">                            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11DAD">
        <w:rPr>
          <w:sz w:val="24"/>
          <w:szCs w:val="24"/>
        </w:rPr>
        <w:t xml:space="preserve">где: </w:t>
      </w:r>
      <w:r w:rsidRPr="00B11DAD">
        <w:rPr>
          <w:noProof/>
          <w:position w:val="-14"/>
          <w:sz w:val="24"/>
          <w:szCs w:val="24"/>
        </w:rPr>
        <w:drawing>
          <wp:inline distT="0" distB="0" distL="0" distR="0" wp14:anchorId="29D2FADA" wp14:editId="1DEE5816">
            <wp:extent cx="228600" cy="228600"/>
            <wp:effectExtent l="0" t="0" r="0" b="0"/>
            <wp:docPr id="25637" name="Рисунок 25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DAD">
        <w:rPr>
          <w:sz w:val="24"/>
          <w:szCs w:val="24"/>
        </w:rPr>
        <w:t xml:space="preserve"> – фильтрационный коэффициент.</w:t>
      </w:r>
    </w:p>
    <w:p w:rsidR="00E41747" w:rsidRPr="00B11DAD" w:rsidRDefault="00E41747" w:rsidP="00B11DAD">
      <w:pPr>
        <w:overflowPunct w:val="0"/>
        <w:spacing w:line="360" w:lineRule="auto"/>
        <w:ind w:firstLine="709"/>
        <w:jc w:val="right"/>
        <w:textAlignment w:val="baseline"/>
        <w:rPr>
          <w:b/>
          <w:sz w:val="24"/>
          <w:szCs w:val="24"/>
        </w:rPr>
      </w:pPr>
      <w:r w:rsidRPr="00B11DAD">
        <w:rPr>
          <w:noProof/>
          <w:position w:val="-14"/>
          <w:sz w:val="24"/>
          <w:szCs w:val="24"/>
        </w:rPr>
        <w:drawing>
          <wp:inline distT="0" distB="0" distL="0" distR="0" wp14:anchorId="5BB60421" wp14:editId="70C95268">
            <wp:extent cx="228600" cy="228600"/>
            <wp:effectExtent l="0" t="0" r="0" b="0"/>
            <wp:docPr id="25638" name="Рисунок 25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DAD">
        <w:rPr>
          <w:sz w:val="24"/>
          <w:szCs w:val="24"/>
        </w:rPr>
        <w:t>=</w:t>
      </w:r>
      <w:r w:rsidRPr="00B11DAD">
        <w:rPr>
          <w:noProof/>
          <w:position w:val="-10"/>
          <w:sz w:val="24"/>
          <w:szCs w:val="24"/>
        </w:rPr>
        <w:drawing>
          <wp:inline distT="0" distB="0" distL="0" distR="0" wp14:anchorId="766B599D" wp14:editId="0F59C35D">
            <wp:extent cx="266700" cy="228600"/>
            <wp:effectExtent l="0" t="0" r="0" b="0"/>
            <wp:docPr id="25639" name="Рисунок 25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DAD">
        <w:rPr>
          <w:sz w:val="24"/>
          <w:szCs w:val="24"/>
        </w:rPr>
        <w:t xml:space="preserve">; </w:t>
      </w:r>
      <w:r w:rsidRPr="00B11DAD">
        <w:rPr>
          <w:sz w:val="24"/>
          <w:szCs w:val="24"/>
        </w:rPr>
        <w:tab/>
      </w:r>
      <w:r w:rsidRPr="00B11DAD">
        <w:rPr>
          <w:sz w:val="24"/>
          <w:szCs w:val="24"/>
        </w:rPr>
        <w:tab/>
        <w:t xml:space="preserve">   </w:t>
      </w:r>
      <w:r w:rsidRPr="00B11DAD">
        <w:rPr>
          <w:sz w:val="24"/>
          <w:szCs w:val="24"/>
        </w:rPr>
        <w:tab/>
        <w:t xml:space="preserve">            </w:t>
      </w:r>
      <w:proofErr w:type="gramStart"/>
      <w:r w:rsidRPr="00B11DAD">
        <w:rPr>
          <w:sz w:val="24"/>
          <w:szCs w:val="24"/>
        </w:rPr>
        <w:t xml:space="preserve">   (</w:t>
      </w:r>
      <w:proofErr w:type="gramEnd"/>
      <w:r w:rsidRPr="00B11DAD">
        <w:rPr>
          <w:sz w:val="24"/>
          <w:szCs w:val="24"/>
        </w:rPr>
        <w:t>3.</w:t>
      </w:r>
      <w:r w:rsidR="0006721A">
        <w:rPr>
          <w:sz w:val="24"/>
          <w:szCs w:val="24"/>
        </w:rPr>
        <w:t>4</w:t>
      </w:r>
      <w:r w:rsidRPr="00B11DAD">
        <w:rPr>
          <w:sz w:val="24"/>
          <w:szCs w:val="24"/>
        </w:rPr>
        <w:t>.18)</w:t>
      </w:r>
    </w:p>
    <w:p w:rsidR="00E41747" w:rsidRPr="00B11DAD" w:rsidRDefault="00E41747" w:rsidP="00B11DA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B11DAD">
        <w:rPr>
          <w:sz w:val="24"/>
          <w:szCs w:val="24"/>
        </w:rPr>
        <w:t xml:space="preserve">Значения коэффициентов охвата, </w:t>
      </w:r>
      <w:proofErr w:type="spellStart"/>
      <w:r w:rsidRPr="00B11DAD">
        <w:rPr>
          <w:sz w:val="24"/>
          <w:szCs w:val="24"/>
        </w:rPr>
        <w:t>заводнения</w:t>
      </w:r>
      <w:proofErr w:type="spellEnd"/>
      <w:r w:rsidRPr="00B11DAD">
        <w:rPr>
          <w:sz w:val="24"/>
          <w:szCs w:val="24"/>
        </w:rPr>
        <w:t xml:space="preserve"> и конечного </w:t>
      </w:r>
      <w:proofErr w:type="spellStart"/>
      <w:r w:rsidRPr="00B11DAD">
        <w:rPr>
          <w:sz w:val="24"/>
          <w:szCs w:val="24"/>
        </w:rPr>
        <w:t>нефтеизвлечения</w:t>
      </w:r>
      <w:proofErr w:type="spellEnd"/>
      <w:r w:rsidRPr="00B11DAD">
        <w:rPr>
          <w:sz w:val="24"/>
          <w:szCs w:val="24"/>
        </w:rPr>
        <w:t xml:space="preserve">, рассчитанных для разных вариантов, по каждому продуктивному </w:t>
      </w:r>
      <w:r w:rsidR="007769E1" w:rsidRPr="00B11DAD">
        <w:rPr>
          <w:sz w:val="24"/>
          <w:szCs w:val="24"/>
        </w:rPr>
        <w:t>объект</w:t>
      </w:r>
      <w:r w:rsidRPr="00B11DAD">
        <w:rPr>
          <w:sz w:val="24"/>
          <w:szCs w:val="24"/>
        </w:rPr>
        <w:t>у, с учетом геологического строения и неоднородности приведены в таблице 3.5.3.</w:t>
      </w:r>
      <w:r w:rsidR="000848C6" w:rsidRPr="00B11DAD">
        <w:rPr>
          <w:sz w:val="24"/>
          <w:szCs w:val="24"/>
        </w:rPr>
        <w:t xml:space="preserve"> </w:t>
      </w:r>
    </w:p>
    <w:p w:rsidR="00EE3470" w:rsidRPr="00B11DAD" w:rsidRDefault="00EE3470" w:rsidP="00B11DA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B11DAD">
        <w:rPr>
          <w:sz w:val="24"/>
          <w:szCs w:val="24"/>
        </w:rPr>
        <w:t xml:space="preserve">По всем объектам </w:t>
      </w:r>
      <w:r w:rsidR="000645A2" w:rsidRPr="00B11DAD">
        <w:rPr>
          <w:sz w:val="24"/>
          <w:szCs w:val="24"/>
        </w:rPr>
        <w:t>технологический КИН в основном выше ранее утвержденного КИН.</w:t>
      </w:r>
    </w:p>
    <w:p w:rsidR="000F3A5A" w:rsidRPr="00B11DAD" w:rsidRDefault="000645A2" w:rsidP="00B11DA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B11DAD">
        <w:rPr>
          <w:sz w:val="24"/>
          <w:szCs w:val="24"/>
        </w:rPr>
        <w:t>Утвержденный КИН</w:t>
      </w:r>
      <w:r w:rsidR="00805580" w:rsidRPr="00B11DAD">
        <w:rPr>
          <w:sz w:val="24"/>
          <w:szCs w:val="24"/>
        </w:rPr>
        <w:t xml:space="preserve"> по объекту был выведен</w:t>
      </w:r>
      <w:r w:rsidRPr="00B11DAD">
        <w:rPr>
          <w:sz w:val="24"/>
          <w:szCs w:val="24"/>
        </w:rPr>
        <w:t xml:space="preserve"> путем сложения утвер</w:t>
      </w:r>
      <w:r w:rsidR="00805580" w:rsidRPr="00B11DAD">
        <w:rPr>
          <w:sz w:val="24"/>
          <w:szCs w:val="24"/>
        </w:rPr>
        <w:t>жденных значений</w:t>
      </w:r>
      <w:r w:rsidRPr="00B11DAD">
        <w:rPr>
          <w:sz w:val="24"/>
          <w:szCs w:val="24"/>
        </w:rPr>
        <w:t xml:space="preserve"> по горизонтам. </w:t>
      </w:r>
    </w:p>
    <w:p w:rsidR="00E41747" w:rsidRPr="008C170B" w:rsidRDefault="00E41747" w:rsidP="008C170B">
      <w:pPr>
        <w:outlineLvl w:val="0"/>
        <w:rPr>
          <w:b/>
        </w:rPr>
      </w:pPr>
      <w:r w:rsidRPr="008C170B">
        <w:rPr>
          <w:b/>
        </w:rPr>
        <w:t>Таблица 3.5.3</w:t>
      </w:r>
      <w:r w:rsidR="008873D2" w:rsidRPr="008C170B">
        <w:rPr>
          <w:b/>
        </w:rPr>
        <w:t xml:space="preserve"> </w:t>
      </w:r>
      <w:r w:rsidR="008C170B" w:rsidRPr="008C170B">
        <w:rPr>
          <w:b/>
        </w:rPr>
        <w:t>-</w:t>
      </w:r>
      <w:r w:rsidRPr="008C170B">
        <w:rPr>
          <w:b/>
        </w:rPr>
        <w:t xml:space="preserve">Коэффициенты </w:t>
      </w:r>
      <w:proofErr w:type="spellStart"/>
      <w:r w:rsidRPr="008C170B">
        <w:rPr>
          <w:b/>
        </w:rPr>
        <w:t>нефтеизвлечения</w:t>
      </w:r>
      <w:proofErr w:type="spellEnd"/>
      <w:r w:rsidRPr="008C170B">
        <w:rPr>
          <w:b/>
        </w:rPr>
        <w:t xml:space="preserve"> по расчетным вариантам разработки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1260"/>
        <w:gridCol w:w="1549"/>
        <w:gridCol w:w="1315"/>
        <w:gridCol w:w="1313"/>
        <w:gridCol w:w="1313"/>
        <w:gridCol w:w="1338"/>
      </w:tblGrid>
      <w:tr w:rsidR="003526DC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Объекты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Ранее утв. КИН, доли ед.</w:t>
            </w:r>
          </w:p>
        </w:tc>
        <w:tc>
          <w:tcPr>
            <w:tcW w:w="809" w:type="pct"/>
            <w:vMerge w:val="restart"/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Варианты</w:t>
            </w:r>
          </w:p>
        </w:tc>
        <w:tc>
          <w:tcPr>
            <w:tcW w:w="2758" w:type="pct"/>
            <w:gridSpan w:val="4"/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Расчетные коэффициенты, доли ед.</w:t>
            </w:r>
          </w:p>
        </w:tc>
      </w:tr>
      <w:tr w:rsidR="003526DC" w:rsidRPr="007B4934" w:rsidTr="00B87C1F">
        <w:trPr>
          <w:trHeight w:val="51"/>
          <w:jc w:val="center"/>
        </w:trPr>
        <w:tc>
          <w:tcPr>
            <w:tcW w:w="775" w:type="pct"/>
            <w:vMerge/>
            <w:shd w:val="clear" w:color="auto" w:fill="auto"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8" w:type="pct"/>
            <w:vMerge/>
            <w:shd w:val="clear" w:color="auto" w:fill="auto"/>
            <w:vAlign w:val="center"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9" w:type="pct"/>
            <w:vMerge/>
            <w:shd w:val="clear" w:color="auto" w:fill="auto"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К</w:t>
            </w:r>
            <w:r w:rsidRPr="007B4934">
              <w:rPr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К</w:t>
            </w:r>
            <w:r w:rsidRPr="007B4934">
              <w:rPr>
                <w:b/>
                <w:bCs/>
                <w:color w:val="000000"/>
                <w:vertAlign w:val="subscript"/>
              </w:rPr>
              <w:t>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К</w:t>
            </w:r>
            <w:r w:rsidRPr="007B4934">
              <w:rPr>
                <w:b/>
                <w:bCs/>
                <w:color w:val="000000"/>
                <w:vertAlign w:val="subscript"/>
              </w:rPr>
              <w:t>3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DC" w:rsidRPr="007B4934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7B4934">
              <w:rPr>
                <w:b/>
                <w:bCs/>
                <w:color w:val="000000"/>
              </w:rPr>
              <w:t>КИН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I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0,608</w:t>
            </w: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0,994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0,741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0,538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shd w:val="clear" w:color="auto" w:fill="auto"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0,758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0,550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II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0,441</w:t>
            </w: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0,534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shd w:val="clear" w:color="auto" w:fill="auto"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0,802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0,557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III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0,591</w:t>
            </w: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0,985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0,810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0,582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shd w:val="clear" w:color="auto" w:fill="auto"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0,985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0,831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0,597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IV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0,621</w:t>
            </w:r>
          </w:p>
        </w:tc>
        <w:tc>
          <w:tcPr>
            <w:tcW w:w="809" w:type="pct"/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0,966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0,674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0,977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0,681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V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B4934">
              <w:rPr>
                <w:color w:val="000000"/>
                <w:lang w:val="en-US"/>
              </w:rPr>
              <w:t>0</w:t>
            </w:r>
            <w:r w:rsidRPr="007B4934">
              <w:rPr>
                <w:color w:val="000000"/>
                <w:lang w:val="kk-KZ"/>
              </w:rPr>
              <w:t>,</w:t>
            </w:r>
            <w:r w:rsidRPr="007B4934">
              <w:rPr>
                <w:color w:val="000000"/>
                <w:lang w:val="en-US"/>
              </w:rPr>
              <w:t>673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0,994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0,741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0,538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0,758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0,550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B4934">
              <w:rPr>
                <w:color w:val="000000"/>
              </w:rPr>
              <w:t>VI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kk-KZ"/>
              </w:rPr>
            </w:pPr>
            <w:r w:rsidRPr="007B4934">
              <w:rPr>
                <w:color w:val="000000"/>
                <w:lang w:val="kk-KZ"/>
              </w:rPr>
              <w:t>0,491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0,534</w:t>
            </w:r>
          </w:p>
        </w:tc>
      </w:tr>
      <w:tr w:rsidR="007B4934" w:rsidRPr="007B4934" w:rsidTr="00B87C1F">
        <w:trPr>
          <w:trHeight w:val="24"/>
          <w:jc w:val="center"/>
        </w:trPr>
        <w:tc>
          <w:tcPr>
            <w:tcW w:w="7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0,992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0,802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934" w:rsidRPr="007B4934" w:rsidRDefault="007B4934" w:rsidP="007B49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B4934">
              <w:rPr>
                <w:color w:val="000000"/>
              </w:rPr>
              <w:t>0,557</w:t>
            </w:r>
          </w:p>
        </w:tc>
      </w:tr>
    </w:tbl>
    <w:p w:rsidR="0018781C" w:rsidRDefault="0018781C"/>
    <w:p w:rsidR="007769E1" w:rsidRPr="005B669D" w:rsidRDefault="007769E1" w:rsidP="005B669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5B669D">
        <w:rPr>
          <w:sz w:val="24"/>
          <w:szCs w:val="24"/>
        </w:rPr>
        <w:t xml:space="preserve">Для расчета дебита нефти проектных добывающих скважин в рамках настоящего отчета применена формула </w:t>
      </w:r>
      <w:proofErr w:type="spellStart"/>
      <w:r w:rsidRPr="005B669D">
        <w:rPr>
          <w:sz w:val="24"/>
          <w:szCs w:val="24"/>
        </w:rPr>
        <w:t>Дюпюи</w:t>
      </w:r>
      <w:proofErr w:type="spellEnd"/>
      <w:r w:rsidRPr="005B669D">
        <w:rPr>
          <w:sz w:val="24"/>
          <w:szCs w:val="24"/>
        </w:rPr>
        <w:t xml:space="preserve"> расчета фактической продуктивности несовершенной скважины, которая при расчете дебитов нефти новых скважин опирается на фильтрационно-емкостные свойства коллекторов, физико-химические свойства пластовых флюидов и продуктивность скважин, полученную при проведении ГДИС:</w:t>
      </w:r>
    </w:p>
    <w:p w:rsidR="007769E1" w:rsidRPr="005B669D" w:rsidRDefault="007769E1" w:rsidP="005B669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5B669D">
        <w:rPr>
          <w:noProof/>
          <w:sz w:val="24"/>
          <w:szCs w:val="24"/>
        </w:rPr>
        <w:drawing>
          <wp:anchor distT="0" distB="0" distL="114300" distR="114300" simplePos="0" relativeHeight="251665920" behindDoc="0" locked="0" layoutInCell="1" allowOverlap="1" wp14:anchorId="47D307C3" wp14:editId="05DD9D75">
            <wp:simplePos x="0" y="0"/>
            <wp:positionH relativeFrom="margin">
              <wp:align>center</wp:align>
            </wp:positionH>
            <wp:positionV relativeFrom="paragraph">
              <wp:posOffset>59055</wp:posOffset>
            </wp:positionV>
            <wp:extent cx="1428750" cy="461010"/>
            <wp:effectExtent l="0" t="0" r="0" b="0"/>
            <wp:wrapNone/>
            <wp:docPr id="1" name="Рисунок 1" descr="J:\Рабочий стол\IMG_0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:\Рабочий стол\IMG_025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F03" w:rsidRPr="005B669D" w:rsidRDefault="000F6F03" w:rsidP="005B669D">
      <w:pPr>
        <w:tabs>
          <w:tab w:val="left" w:pos="5940"/>
        </w:tabs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5B669D">
        <w:rPr>
          <w:sz w:val="24"/>
          <w:szCs w:val="24"/>
        </w:rPr>
        <w:tab/>
        <w:t xml:space="preserve">                          (3.</w:t>
      </w:r>
      <w:r w:rsidR="00193794">
        <w:rPr>
          <w:sz w:val="24"/>
          <w:szCs w:val="24"/>
        </w:rPr>
        <w:t>4</w:t>
      </w:r>
      <w:r w:rsidRPr="005B669D">
        <w:rPr>
          <w:sz w:val="24"/>
          <w:szCs w:val="24"/>
        </w:rPr>
        <w:t>.19)</w:t>
      </w:r>
    </w:p>
    <w:p w:rsidR="007769E1" w:rsidRPr="005B669D" w:rsidRDefault="007769E1" w:rsidP="005B669D">
      <w:pPr>
        <w:tabs>
          <w:tab w:val="left" w:pos="6435"/>
        </w:tabs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  <w:lang w:val="kk-KZ"/>
        </w:rPr>
      </w:pPr>
    </w:p>
    <w:p w:rsidR="007769E1" w:rsidRPr="005B669D" w:rsidRDefault="007769E1" w:rsidP="005B669D">
      <w:pPr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5B669D">
        <w:rPr>
          <w:sz w:val="24"/>
          <w:szCs w:val="24"/>
        </w:rPr>
        <w:t xml:space="preserve">где, k – проницаемость, </w:t>
      </w:r>
      <w:proofErr w:type="spellStart"/>
      <w:r w:rsidRPr="005B669D">
        <w:rPr>
          <w:sz w:val="24"/>
          <w:szCs w:val="24"/>
        </w:rPr>
        <w:t>мД</w:t>
      </w:r>
      <w:proofErr w:type="spellEnd"/>
      <w:r w:rsidRPr="005B669D">
        <w:rPr>
          <w:sz w:val="24"/>
          <w:szCs w:val="24"/>
        </w:rPr>
        <w:t xml:space="preserve">; h – мощность интервала перфорации, м; </w:t>
      </w:r>
      <w:proofErr w:type="spellStart"/>
      <w:r w:rsidRPr="005B669D">
        <w:rPr>
          <w:sz w:val="24"/>
          <w:szCs w:val="24"/>
        </w:rPr>
        <w:t>Rk</w:t>
      </w:r>
      <w:proofErr w:type="spellEnd"/>
      <w:r w:rsidRPr="005B669D">
        <w:rPr>
          <w:sz w:val="24"/>
          <w:szCs w:val="24"/>
        </w:rPr>
        <w:t xml:space="preserve"> – радиус контура, м; </w:t>
      </w:r>
      <w:proofErr w:type="spellStart"/>
      <w:r w:rsidRPr="005B669D">
        <w:rPr>
          <w:sz w:val="24"/>
          <w:szCs w:val="24"/>
        </w:rPr>
        <w:t>rc</w:t>
      </w:r>
      <w:proofErr w:type="spellEnd"/>
      <w:r w:rsidRPr="005B669D">
        <w:rPr>
          <w:sz w:val="24"/>
          <w:szCs w:val="24"/>
        </w:rPr>
        <w:t xml:space="preserve"> – радиус скважины, м; S – </w:t>
      </w:r>
      <w:proofErr w:type="spellStart"/>
      <w:r w:rsidRPr="005B669D">
        <w:rPr>
          <w:sz w:val="24"/>
          <w:szCs w:val="24"/>
        </w:rPr>
        <w:t>скин</w:t>
      </w:r>
      <w:proofErr w:type="spellEnd"/>
      <w:r w:rsidRPr="005B669D">
        <w:rPr>
          <w:sz w:val="24"/>
          <w:szCs w:val="24"/>
        </w:rPr>
        <w:t>-фактор, доли ед.; B – коэффициент объемного расширения, доли ед., для пересчета объема жидкости из пов</w:t>
      </w:r>
      <w:r w:rsidR="004D4C33" w:rsidRPr="005B669D">
        <w:rPr>
          <w:sz w:val="24"/>
          <w:szCs w:val="24"/>
        </w:rPr>
        <w:t xml:space="preserve">ерхностных в </w:t>
      </w:r>
      <w:r w:rsidR="004D4C33" w:rsidRPr="005B669D">
        <w:rPr>
          <w:sz w:val="24"/>
          <w:szCs w:val="24"/>
        </w:rPr>
        <w:lastRenderedPageBreak/>
        <w:t xml:space="preserve">пластовые условия. </w:t>
      </w:r>
      <w:r w:rsidRPr="005B669D">
        <w:rPr>
          <w:sz w:val="24"/>
          <w:szCs w:val="24"/>
        </w:rPr>
        <w:t xml:space="preserve">Средние значения проницаемости и </w:t>
      </w:r>
      <w:proofErr w:type="spellStart"/>
      <w:r w:rsidRPr="005B669D">
        <w:rPr>
          <w:sz w:val="24"/>
          <w:szCs w:val="24"/>
        </w:rPr>
        <w:t>скин</w:t>
      </w:r>
      <w:proofErr w:type="spellEnd"/>
      <w:r w:rsidRPr="005B669D">
        <w:rPr>
          <w:sz w:val="24"/>
          <w:szCs w:val="24"/>
        </w:rPr>
        <w:t>-фактора по объектам взяты по результатам ГДИС. Физико-химические свойства нефти взяты по результатам лабораторных исследований поверхностных и пластовых проб нефти. Оптимальная депрессия для проектных скважин рассчитана по результатам проведения ГДИС и на основе фактических показателей эксплуатации уже пробуренных добывающих скважин.</w:t>
      </w:r>
    </w:p>
    <w:p w:rsidR="005B669D" w:rsidRPr="00B87C1F" w:rsidRDefault="005B669D" w:rsidP="005B669D">
      <w:pPr>
        <w:pStyle w:val="ab"/>
        <w:ind w:firstLine="709"/>
        <w:rPr>
          <w:b/>
          <w:i/>
          <w:highlight w:val="yellow"/>
        </w:rPr>
      </w:pPr>
      <w:r w:rsidRPr="00B87C1F">
        <w:rPr>
          <w:b/>
          <w:i/>
          <w:highlight w:val="yellow"/>
        </w:rPr>
        <w:t>Обоснование количества резервных скважин</w:t>
      </w:r>
    </w:p>
    <w:p w:rsidR="005B669D" w:rsidRPr="00B87C1F" w:rsidRDefault="005B669D" w:rsidP="005B669D">
      <w:pPr>
        <w:spacing w:line="360" w:lineRule="auto"/>
        <w:ind w:firstLine="709"/>
        <w:jc w:val="both"/>
        <w:rPr>
          <w:sz w:val="24"/>
          <w:szCs w:val="24"/>
          <w:highlight w:val="yellow"/>
          <w:lang w:val="kk-KZ"/>
        </w:rPr>
      </w:pPr>
      <w:r w:rsidRPr="00B87C1F">
        <w:rPr>
          <w:sz w:val="24"/>
          <w:szCs w:val="24"/>
          <w:highlight w:val="yellow"/>
        </w:rPr>
        <w:t xml:space="preserve">На месторождении во всех рассматриваемых вариантах, предусматривается фонд резервных скважин для вовлечения в разработку отдельных линз, зон выклинивания и застойных зон, которые не вовлекаются в разработку скважинами основного фонда в пределах их размещения. Число резервных скважин согласно рекомендуемому </w:t>
      </w:r>
      <w:r w:rsidR="00F20A3F" w:rsidRPr="00B87C1F">
        <w:rPr>
          <w:sz w:val="24"/>
          <w:szCs w:val="24"/>
          <w:highlight w:val="yellow"/>
          <w:lang w:val="kk-KZ"/>
        </w:rPr>
        <w:t>3</w:t>
      </w:r>
      <w:r w:rsidRPr="00B87C1F">
        <w:rPr>
          <w:sz w:val="24"/>
          <w:szCs w:val="24"/>
          <w:highlight w:val="yellow"/>
        </w:rPr>
        <w:t xml:space="preserve"> варианту разработки планируется в количестве до 10% от фонда добывающих скважин</w:t>
      </w:r>
      <w:r w:rsidRPr="00B87C1F">
        <w:rPr>
          <w:sz w:val="24"/>
          <w:szCs w:val="24"/>
          <w:highlight w:val="yellow"/>
          <w:lang w:val="kk-KZ"/>
        </w:rPr>
        <w:t>, таким образом:</w:t>
      </w:r>
    </w:p>
    <w:p w:rsidR="005B669D" w:rsidRPr="00B87C1F" w:rsidRDefault="005B669D" w:rsidP="005B669D">
      <w:pPr>
        <w:spacing w:line="360" w:lineRule="auto"/>
        <w:ind w:firstLine="709"/>
        <w:jc w:val="both"/>
        <w:rPr>
          <w:sz w:val="24"/>
          <w:szCs w:val="24"/>
          <w:highlight w:val="yellow"/>
        </w:rPr>
      </w:pPr>
      <w:r w:rsidRPr="00B87C1F">
        <w:rPr>
          <w:sz w:val="24"/>
          <w:szCs w:val="24"/>
          <w:highlight w:val="yellow"/>
          <w:lang w:val="kk-KZ"/>
        </w:rPr>
        <w:t>На І объект – 1 вертикальная скважина №</w:t>
      </w:r>
      <w:r w:rsidR="00882F6F" w:rsidRPr="00B87C1F">
        <w:rPr>
          <w:sz w:val="24"/>
          <w:szCs w:val="24"/>
          <w:highlight w:val="yellow"/>
          <w:lang w:val="kk-KZ"/>
        </w:rPr>
        <w:t>288</w:t>
      </w:r>
      <w:r w:rsidRPr="00B87C1F">
        <w:rPr>
          <w:sz w:val="24"/>
          <w:szCs w:val="24"/>
          <w:highlight w:val="yellow"/>
        </w:rPr>
        <w:t>.</w:t>
      </w:r>
    </w:p>
    <w:p w:rsidR="00322F32" w:rsidRPr="00B87C1F" w:rsidRDefault="00322F32" w:rsidP="00322F32">
      <w:pPr>
        <w:spacing w:line="360" w:lineRule="auto"/>
        <w:ind w:firstLine="709"/>
        <w:jc w:val="both"/>
        <w:rPr>
          <w:sz w:val="24"/>
          <w:szCs w:val="24"/>
          <w:highlight w:val="yellow"/>
        </w:rPr>
      </w:pPr>
      <w:r w:rsidRPr="00B87C1F">
        <w:rPr>
          <w:sz w:val="24"/>
          <w:szCs w:val="24"/>
          <w:highlight w:val="yellow"/>
        </w:rPr>
        <w:t>На</w:t>
      </w:r>
      <w:r w:rsidRPr="00B87C1F">
        <w:rPr>
          <w:sz w:val="24"/>
          <w:szCs w:val="24"/>
          <w:highlight w:val="yellow"/>
          <w:lang w:val="kk-KZ"/>
        </w:rPr>
        <w:t xml:space="preserve"> І</w:t>
      </w:r>
      <w:r w:rsidRPr="00B87C1F">
        <w:rPr>
          <w:sz w:val="24"/>
          <w:szCs w:val="24"/>
          <w:highlight w:val="yellow"/>
          <w:lang w:val="en-US"/>
        </w:rPr>
        <w:t>I</w:t>
      </w:r>
      <w:r w:rsidRPr="00B87C1F">
        <w:rPr>
          <w:sz w:val="24"/>
          <w:szCs w:val="24"/>
          <w:highlight w:val="yellow"/>
          <w:lang w:val="kk-KZ"/>
        </w:rPr>
        <w:t xml:space="preserve"> объект – 1 горизонтальная скважина №</w:t>
      </w:r>
      <w:r w:rsidR="00882F6F" w:rsidRPr="00B87C1F">
        <w:rPr>
          <w:sz w:val="24"/>
          <w:szCs w:val="24"/>
          <w:highlight w:val="yellow"/>
          <w:lang w:val="kk-KZ"/>
        </w:rPr>
        <w:t>289</w:t>
      </w:r>
      <w:r w:rsidRPr="00B87C1F">
        <w:rPr>
          <w:sz w:val="24"/>
          <w:szCs w:val="24"/>
          <w:highlight w:val="yellow"/>
        </w:rPr>
        <w:t>.</w:t>
      </w:r>
    </w:p>
    <w:p w:rsidR="00322F32" w:rsidRDefault="00322F32" w:rsidP="00322F32">
      <w:pPr>
        <w:spacing w:line="360" w:lineRule="auto"/>
        <w:ind w:firstLine="709"/>
        <w:jc w:val="both"/>
        <w:rPr>
          <w:sz w:val="24"/>
          <w:szCs w:val="24"/>
        </w:rPr>
      </w:pPr>
      <w:r w:rsidRPr="00B87C1F">
        <w:rPr>
          <w:sz w:val="24"/>
          <w:szCs w:val="24"/>
          <w:highlight w:val="yellow"/>
        </w:rPr>
        <w:t>На</w:t>
      </w:r>
      <w:r w:rsidRPr="00B87C1F">
        <w:rPr>
          <w:sz w:val="24"/>
          <w:szCs w:val="24"/>
          <w:highlight w:val="yellow"/>
          <w:lang w:val="kk-KZ"/>
        </w:rPr>
        <w:t xml:space="preserve"> І</w:t>
      </w:r>
      <w:r w:rsidRPr="00B87C1F">
        <w:rPr>
          <w:sz w:val="24"/>
          <w:szCs w:val="24"/>
          <w:highlight w:val="yellow"/>
          <w:lang w:val="en-US"/>
        </w:rPr>
        <w:t>II</w:t>
      </w:r>
      <w:r w:rsidRPr="00B87C1F">
        <w:rPr>
          <w:sz w:val="24"/>
          <w:szCs w:val="24"/>
          <w:highlight w:val="yellow"/>
          <w:lang w:val="kk-KZ"/>
        </w:rPr>
        <w:t xml:space="preserve"> объект – 1 вертикальная скважина №</w:t>
      </w:r>
      <w:r w:rsidR="00882F6F" w:rsidRPr="00B87C1F">
        <w:rPr>
          <w:sz w:val="24"/>
          <w:szCs w:val="24"/>
          <w:highlight w:val="yellow"/>
          <w:lang w:val="kk-KZ"/>
        </w:rPr>
        <w:t>290</w:t>
      </w:r>
      <w:r w:rsidRPr="00B87C1F">
        <w:rPr>
          <w:sz w:val="24"/>
          <w:szCs w:val="24"/>
          <w:highlight w:val="yellow"/>
        </w:rPr>
        <w:t>.</w:t>
      </w:r>
    </w:p>
    <w:p w:rsidR="00322F32" w:rsidRDefault="00322F32" w:rsidP="00322F32">
      <w:pPr>
        <w:spacing w:line="360" w:lineRule="auto"/>
        <w:ind w:firstLine="709"/>
        <w:jc w:val="both"/>
        <w:rPr>
          <w:sz w:val="24"/>
          <w:szCs w:val="24"/>
        </w:rPr>
      </w:pPr>
    </w:p>
    <w:p w:rsidR="00322F32" w:rsidRPr="005B669D" w:rsidRDefault="00322F32" w:rsidP="005B669D">
      <w:pPr>
        <w:spacing w:line="360" w:lineRule="auto"/>
        <w:ind w:firstLine="709"/>
        <w:jc w:val="both"/>
        <w:rPr>
          <w:sz w:val="24"/>
          <w:szCs w:val="24"/>
        </w:rPr>
      </w:pPr>
    </w:p>
    <w:p w:rsidR="005B669D" w:rsidRPr="008873D2" w:rsidRDefault="005B669D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sectPr w:rsidR="005B669D" w:rsidRPr="008873D2" w:rsidSect="00226268">
      <w:headerReference w:type="default" r:id="rId26"/>
      <w:footerReference w:type="default" r:id="rId27"/>
      <w:pgSz w:w="11907" w:h="16840" w:code="9"/>
      <w:pgMar w:top="1134" w:right="851" w:bottom="1134" w:left="1701" w:header="709" w:footer="709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7E6" w:rsidRDefault="001A57E6" w:rsidP="00E41747">
      <w:r>
        <w:separator/>
      </w:r>
    </w:p>
  </w:endnote>
  <w:endnote w:type="continuationSeparator" w:id="0">
    <w:p w:rsidR="001A57E6" w:rsidRDefault="001A57E6" w:rsidP="00E4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5A" w:rsidRPr="000F3A5A" w:rsidRDefault="001C26BB" w:rsidP="000F3A5A">
    <w:pPr>
      <w:pBdr>
        <w:top w:val="single" w:sz="4" w:space="0" w:color="auto"/>
      </w:pBdr>
      <w:rPr>
        <w:rFonts w:eastAsia="Calibri"/>
        <w:sz w:val="14"/>
        <w:szCs w:val="14"/>
      </w:rPr>
    </w:pPr>
    <w:r>
      <w:rPr>
        <w:rFonts w:eastAsia="Calibri"/>
        <w:sz w:val="14"/>
        <w:szCs w:val="14"/>
      </w:rPr>
      <w:t xml:space="preserve">ПРОЕКТ РАЗРАБОТКИ </w:t>
    </w:r>
    <w:r w:rsidR="000F3A5A" w:rsidRPr="00306FBE">
      <w:rPr>
        <w:rFonts w:eastAsia="Calibri"/>
        <w:sz w:val="14"/>
        <w:szCs w:val="14"/>
      </w:rPr>
      <w:t xml:space="preserve">МЕСТОРОЖДЕНИЯ </w:t>
    </w:r>
    <w:r w:rsidR="000F3A5A">
      <w:rPr>
        <w:rFonts w:eastAsia="Calibri"/>
        <w:sz w:val="14"/>
        <w:szCs w:val="14"/>
      </w:rPr>
      <w:t xml:space="preserve">ЖАНАТАЛАП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7E6" w:rsidRDefault="001A57E6" w:rsidP="00E41747">
      <w:r>
        <w:separator/>
      </w:r>
    </w:p>
  </w:footnote>
  <w:footnote w:type="continuationSeparator" w:id="0">
    <w:p w:rsidR="001A57E6" w:rsidRDefault="001A57E6" w:rsidP="00E4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725" w:rsidRPr="00EC7809" w:rsidRDefault="00DE4725" w:rsidP="007769E1">
    <w:pPr>
      <w:pStyle w:val="a3"/>
      <w:framePr w:wrap="around" w:vAnchor="text" w:hAnchor="page" w:x="22756" w:y="-32"/>
      <w:rPr>
        <w:rStyle w:val="a8"/>
      </w:rPr>
    </w:pPr>
    <w:r w:rsidRPr="00EC7809">
      <w:rPr>
        <w:rStyle w:val="a8"/>
      </w:rPr>
      <w:fldChar w:fldCharType="begin"/>
    </w:r>
    <w:r w:rsidRPr="00EC7809">
      <w:rPr>
        <w:rStyle w:val="a8"/>
      </w:rPr>
      <w:instrText xml:space="preserve">PAGE  </w:instrText>
    </w:r>
    <w:r w:rsidRPr="00EC7809">
      <w:rPr>
        <w:rStyle w:val="a8"/>
      </w:rPr>
      <w:fldChar w:fldCharType="separate"/>
    </w:r>
    <w:r w:rsidR="00A3225A">
      <w:rPr>
        <w:rStyle w:val="a8"/>
        <w:noProof/>
      </w:rPr>
      <w:t>252</w:t>
    </w:r>
    <w:r w:rsidRPr="00EC7809">
      <w:rPr>
        <w:rStyle w:val="a8"/>
      </w:rPr>
      <w:fldChar w:fldCharType="end"/>
    </w:r>
  </w:p>
  <w:p w:rsidR="0038117A" w:rsidRPr="0038117A" w:rsidRDefault="0038117A" w:rsidP="0038117A">
    <w:pPr>
      <w:framePr w:wrap="around" w:vAnchor="text" w:hAnchor="page" w:x="11004" w:y="-160"/>
      <w:widowControl/>
      <w:tabs>
        <w:tab w:val="center" w:pos="4677"/>
        <w:tab w:val="right" w:pos="9355"/>
      </w:tabs>
      <w:autoSpaceDE/>
      <w:autoSpaceDN/>
      <w:adjustRightInd/>
    </w:pPr>
    <w:r w:rsidRPr="0038117A">
      <w:fldChar w:fldCharType="begin"/>
    </w:r>
    <w:r w:rsidRPr="0038117A">
      <w:instrText xml:space="preserve">PAGE  </w:instrText>
    </w:r>
    <w:r w:rsidRPr="0038117A">
      <w:fldChar w:fldCharType="separate"/>
    </w:r>
    <w:r w:rsidR="00A3225A">
      <w:rPr>
        <w:noProof/>
      </w:rPr>
      <w:t>252</w:t>
    </w:r>
    <w:r w:rsidRPr="0038117A">
      <w:fldChar w:fldCharType="end"/>
    </w:r>
  </w:p>
  <w:p w:rsidR="00DE4725" w:rsidRPr="00E41747" w:rsidRDefault="00DE4725" w:rsidP="00E41747">
    <w:pPr>
      <w:widowControl/>
      <w:pBdr>
        <w:bottom w:val="single" w:sz="4" w:space="1" w:color="auto"/>
      </w:pBdr>
      <w:tabs>
        <w:tab w:val="left" w:pos="1860"/>
      </w:tabs>
      <w:autoSpaceDE/>
      <w:autoSpaceDN/>
      <w:adjustRightInd/>
      <w:ind w:right="340"/>
      <w:jc w:val="both"/>
      <w:rPr>
        <w:sz w:val="24"/>
        <w:szCs w:val="24"/>
      </w:rPr>
    </w:pPr>
    <w:r>
      <w:rPr>
        <w:sz w:val="14"/>
        <w:szCs w:val="14"/>
      </w:rPr>
      <w:t>ПОДГОТОВКА ГЕОЛОГО-ПРОМЫСЛОВОЙ И ТЕХНИКО-ЭКОНОМИЧЕСКОЙ ОСНОВЫ ДЛЯ РАСЧЕТА КИН И ИЗВЛЕКАЕМЫХ ЗАПАСОВ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261"/>
    <w:rsid w:val="00017E36"/>
    <w:rsid w:val="00026C56"/>
    <w:rsid w:val="00032C11"/>
    <w:rsid w:val="00047C2D"/>
    <w:rsid w:val="00054F6F"/>
    <w:rsid w:val="00061052"/>
    <w:rsid w:val="000645A2"/>
    <w:rsid w:val="0006721A"/>
    <w:rsid w:val="000848C6"/>
    <w:rsid w:val="000A1902"/>
    <w:rsid w:val="000F3A5A"/>
    <w:rsid w:val="000F6F03"/>
    <w:rsid w:val="00137B9D"/>
    <w:rsid w:val="00181E7B"/>
    <w:rsid w:val="0018781C"/>
    <w:rsid w:val="00193794"/>
    <w:rsid w:val="001A3340"/>
    <w:rsid w:val="001A57E6"/>
    <w:rsid w:val="001B603B"/>
    <w:rsid w:val="001C26BB"/>
    <w:rsid w:val="001D4955"/>
    <w:rsid w:val="0021044D"/>
    <w:rsid w:val="0022395E"/>
    <w:rsid w:val="00226268"/>
    <w:rsid w:val="00242D50"/>
    <w:rsid w:val="00271E31"/>
    <w:rsid w:val="00313B2C"/>
    <w:rsid w:val="00321284"/>
    <w:rsid w:val="00322F32"/>
    <w:rsid w:val="00332C40"/>
    <w:rsid w:val="00342180"/>
    <w:rsid w:val="003526DC"/>
    <w:rsid w:val="0038117A"/>
    <w:rsid w:val="003837BC"/>
    <w:rsid w:val="00383A62"/>
    <w:rsid w:val="003B217D"/>
    <w:rsid w:val="003D3AD4"/>
    <w:rsid w:val="003F164E"/>
    <w:rsid w:val="00403FA8"/>
    <w:rsid w:val="004168FA"/>
    <w:rsid w:val="00426238"/>
    <w:rsid w:val="0043481C"/>
    <w:rsid w:val="00464889"/>
    <w:rsid w:val="00490766"/>
    <w:rsid w:val="00493A44"/>
    <w:rsid w:val="004D4C33"/>
    <w:rsid w:val="004E7EFD"/>
    <w:rsid w:val="004F0C35"/>
    <w:rsid w:val="004F102A"/>
    <w:rsid w:val="00506315"/>
    <w:rsid w:val="005217C2"/>
    <w:rsid w:val="005722FE"/>
    <w:rsid w:val="00592FB9"/>
    <w:rsid w:val="005B669D"/>
    <w:rsid w:val="006040A4"/>
    <w:rsid w:val="00657753"/>
    <w:rsid w:val="00674217"/>
    <w:rsid w:val="00676EBA"/>
    <w:rsid w:val="006B0617"/>
    <w:rsid w:val="006D2237"/>
    <w:rsid w:val="006F57F4"/>
    <w:rsid w:val="00715F03"/>
    <w:rsid w:val="00723B79"/>
    <w:rsid w:val="00726B79"/>
    <w:rsid w:val="007769E1"/>
    <w:rsid w:val="007B4934"/>
    <w:rsid w:val="007C509A"/>
    <w:rsid w:val="00805580"/>
    <w:rsid w:val="00816CE8"/>
    <w:rsid w:val="00860066"/>
    <w:rsid w:val="008631C8"/>
    <w:rsid w:val="0086697B"/>
    <w:rsid w:val="00875F49"/>
    <w:rsid w:val="00882F6F"/>
    <w:rsid w:val="008873D2"/>
    <w:rsid w:val="008A4B2E"/>
    <w:rsid w:val="008C170B"/>
    <w:rsid w:val="008C3684"/>
    <w:rsid w:val="008F4638"/>
    <w:rsid w:val="009376D4"/>
    <w:rsid w:val="009576B9"/>
    <w:rsid w:val="00970494"/>
    <w:rsid w:val="009839D4"/>
    <w:rsid w:val="009877EB"/>
    <w:rsid w:val="009B369A"/>
    <w:rsid w:val="009E5843"/>
    <w:rsid w:val="009F4C8E"/>
    <w:rsid w:val="00A03228"/>
    <w:rsid w:val="00A10281"/>
    <w:rsid w:val="00A3225A"/>
    <w:rsid w:val="00A7015A"/>
    <w:rsid w:val="00AC3666"/>
    <w:rsid w:val="00B0502D"/>
    <w:rsid w:val="00B11DAD"/>
    <w:rsid w:val="00B30D79"/>
    <w:rsid w:val="00B35EA9"/>
    <w:rsid w:val="00B37EE4"/>
    <w:rsid w:val="00B53093"/>
    <w:rsid w:val="00B87C1F"/>
    <w:rsid w:val="00B95ADA"/>
    <w:rsid w:val="00BA69E7"/>
    <w:rsid w:val="00BA7657"/>
    <w:rsid w:val="00BB07D5"/>
    <w:rsid w:val="00C33175"/>
    <w:rsid w:val="00C63131"/>
    <w:rsid w:val="00C66DB8"/>
    <w:rsid w:val="00C7598B"/>
    <w:rsid w:val="00C87FE4"/>
    <w:rsid w:val="00C954B4"/>
    <w:rsid w:val="00C954C0"/>
    <w:rsid w:val="00C97261"/>
    <w:rsid w:val="00CC4B34"/>
    <w:rsid w:val="00D02B9C"/>
    <w:rsid w:val="00D260BF"/>
    <w:rsid w:val="00D61D05"/>
    <w:rsid w:val="00DB1947"/>
    <w:rsid w:val="00DC7272"/>
    <w:rsid w:val="00DE4725"/>
    <w:rsid w:val="00E120B6"/>
    <w:rsid w:val="00E41747"/>
    <w:rsid w:val="00E8164B"/>
    <w:rsid w:val="00E9668D"/>
    <w:rsid w:val="00EE3470"/>
    <w:rsid w:val="00F20A3F"/>
    <w:rsid w:val="00F75DE5"/>
    <w:rsid w:val="00F77F33"/>
    <w:rsid w:val="00F81840"/>
    <w:rsid w:val="00F843DE"/>
    <w:rsid w:val="00F92A72"/>
    <w:rsid w:val="00FA1B34"/>
    <w:rsid w:val="00FA32C1"/>
    <w:rsid w:val="00FC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C02C177"/>
  <w15:docId w15:val="{8B0D6FE7-D9F1-4427-B0F5-E5B2CC5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17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лек_Заголовок_2"/>
    <w:basedOn w:val="a"/>
    <w:qFormat/>
    <w:rsid w:val="00E41747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styleId="a3">
    <w:name w:val="header"/>
    <w:aliases w:val="Title Up"/>
    <w:basedOn w:val="a"/>
    <w:link w:val="a4"/>
    <w:unhideWhenUsed/>
    <w:rsid w:val="00E417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"/>
    <w:basedOn w:val="a0"/>
    <w:link w:val="a3"/>
    <w:rsid w:val="00E41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7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74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776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7769E1"/>
  </w:style>
  <w:style w:type="paragraph" w:styleId="a9">
    <w:name w:val="Balloon Text"/>
    <w:basedOn w:val="a"/>
    <w:link w:val="aa"/>
    <w:uiPriority w:val="99"/>
    <w:semiHidden/>
    <w:unhideWhenUsed/>
    <w:rsid w:val="007769E1"/>
    <w:pPr>
      <w:widowControl/>
      <w:autoSpaceDE/>
      <w:autoSpaceDN/>
      <w:adjustRightInd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7769E1"/>
    <w:rPr>
      <w:rFonts w:ascii="Tahoma" w:hAnsi="Tahoma" w:cs="Tahoma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a"/>
    <w:rsid w:val="005217C2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b">
    <w:name w:val="Обычный текст"/>
    <w:basedOn w:val="a"/>
    <w:rsid w:val="005B669D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styleId="ac">
    <w:name w:val="No Spacing"/>
    <w:link w:val="ad"/>
    <w:uiPriority w:val="1"/>
    <w:qFormat/>
    <w:rsid w:val="008631C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d">
    <w:name w:val="Без интервала Знак"/>
    <w:link w:val="ac"/>
    <w:uiPriority w:val="1"/>
    <w:locked/>
    <w:rsid w:val="008631C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A8980-ADC3-4600-AF10-E5281363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8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Муратова</dc:creator>
  <cp:keywords/>
  <dc:description/>
  <cp:lastModifiedBy>Жанұзаққызы Әсем</cp:lastModifiedBy>
  <cp:revision>113</cp:revision>
  <dcterms:created xsi:type="dcterms:W3CDTF">2020-10-25T14:07:00Z</dcterms:created>
  <dcterms:modified xsi:type="dcterms:W3CDTF">2022-03-04T09:22:00Z</dcterms:modified>
</cp:coreProperties>
</file>